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19A78AF8" w:rsidR="002F2CDF" w:rsidRDefault="00F055B3" w:rsidP="002F2CDF">
      <w:pPr>
        <w:pStyle w:val="Default"/>
        <w:tabs>
          <w:tab w:val="left" w:pos="2268"/>
        </w:tabs>
        <w:jc w:val="center"/>
        <w:rPr>
          <w:rFonts w:eastAsia="Calibri"/>
          <w:b/>
          <w:bCs/>
          <w:sz w:val="32"/>
          <w:szCs w:val="28"/>
        </w:rPr>
      </w:pPr>
      <w:r>
        <w:rPr>
          <w:noProof/>
        </w:rPr>
        <w:t>http://bibdigital.epn.edu.ec/handle/15000/21984</w:t>
      </w:r>
    </w:p>
    <w:p w14:paraId="3208C824" w14:textId="2BA47481" w:rsidR="002F2CDF" w:rsidRPr="00EC290A" w:rsidRDefault="008E4887" w:rsidP="002F2CDF">
      <w:pPr>
        <w:pStyle w:val="Default"/>
        <w:tabs>
          <w:tab w:val="left" w:pos="2268"/>
        </w:tabs>
        <w:jc w:val="center"/>
        <w:rPr>
          <w:b/>
          <w:sz w:val="32"/>
          <w:szCs w:val="28"/>
        </w:rPr>
      </w:pPr>
      <w:r>
        <w:rPr>
          <w:rFonts w:eastAsia="Calibri"/>
          <w:b/>
          <w:bCs/>
          <w:sz w:val="32"/>
          <w:szCs w:val="28"/>
        </w:rPr>
        <w:t>Waste to Energy</w:t>
      </w:r>
      <w:r w:rsidR="00126035">
        <w:rPr>
          <w:rFonts w:eastAsia="Calibri"/>
          <w:b/>
          <w:bCs/>
          <w:sz w:val="32"/>
          <w:szCs w:val="28"/>
        </w:rPr>
        <w:t xml:space="preserve"> Los Ríos. </w:t>
      </w:r>
      <w:r w:rsidR="009E7359">
        <w:rPr>
          <w:rFonts w:eastAsia="Calibri"/>
          <w:b/>
          <w:bCs/>
          <w:sz w:val="32"/>
          <w:szCs w:val="28"/>
        </w:rPr>
        <w:t>Análisis del potencial energético</w:t>
      </w:r>
      <w:r w:rsidR="00A66789">
        <w:rPr>
          <w:rFonts w:eastAsia="Calibri"/>
          <w:b/>
          <w:bCs/>
          <w:sz w:val="32"/>
          <w:szCs w:val="28"/>
        </w:rPr>
        <w:t xml:space="preserve"> por medio de </w:t>
      </w:r>
      <w:r w:rsidR="00315609">
        <w:rPr>
          <w:rFonts w:eastAsia="Calibri"/>
          <w:b/>
          <w:bCs/>
          <w:sz w:val="32"/>
          <w:szCs w:val="28"/>
        </w:rPr>
        <w:t xml:space="preserve">incineración </w:t>
      </w:r>
      <w:r w:rsidR="0048315C">
        <w:rPr>
          <w:rFonts w:eastAsia="Calibri"/>
          <w:b/>
          <w:bCs/>
          <w:sz w:val="32"/>
          <w:szCs w:val="28"/>
        </w:rPr>
        <w:t>de residuos sólidos urbanos (RSU)</w:t>
      </w:r>
    </w:p>
    <w:p w14:paraId="0B3CB1A8" w14:textId="76080E92" w:rsidR="002F2CDF" w:rsidRDefault="002F2CDF" w:rsidP="002F2CDF">
      <w:pPr>
        <w:pStyle w:val="Default"/>
        <w:tabs>
          <w:tab w:val="left" w:pos="5223"/>
        </w:tabs>
        <w:rPr>
          <w:sz w:val="20"/>
          <w:szCs w:val="20"/>
        </w:rPr>
      </w:pPr>
    </w:p>
    <w:p w14:paraId="32782B43" w14:textId="1D3CB990" w:rsidR="002F2CDF" w:rsidRDefault="002F2CDF" w:rsidP="002F2CDF">
      <w:pPr>
        <w:pStyle w:val="Default"/>
        <w:tabs>
          <w:tab w:val="left" w:pos="5223"/>
        </w:tabs>
        <w:rPr>
          <w:sz w:val="20"/>
          <w:szCs w:val="20"/>
        </w:rPr>
      </w:pPr>
    </w:p>
    <w:p w14:paraId="472069C7" w14:textId="77777777" w:rsidR="002F2CDF" w:rsidRPr="0079704E" w:rsidRDefault="002F2CDF" w:rsidP="002F2CDF">
      <w:pPr>
        <w:pStyle w:val="Default"/>
        <w:tabs>
          <w:tab w:val="left" w:pos="5223"/>
        </w:tabs>
        <w:rPr>
          <w:sz w:val="20"/>
          <w:szCs w:val="20"/>
        </w:rPr>
      </w:pPr>
    </w:p>
    <w:p w14:paraId="4186D939" w14:textId="771D3D88" w:rsidR="002F2CDF" w:rsidRPr="00A84CB6" w:rsidRDefault="00FE485F" w:rsidP="002F2CDF">
      <w:pPr>
        <w:pStyle w:val="Default"/>
        <w:jc w:val="center"/>
        <w:rPr>
          <w:b/>
          <w:bCs/>
          <w:smallCaps/>
          <w:sz w:val="20"/>
          <w:szCs w:val="20"/>
          <w:vertAlign w:val="superscript"/>
        </w:rPr>
      </w:pPr>
      <w:r>
        <w:rPr>
          <w:b/>
          <w:bCs/>
          <w:sz w:val="20"/>
          <w:szCs w:val="20"/>
        </w:rPr>
        <w:t>Manuel J.</w:t>
      </w:r>
      <w:r w:rsidR="002F2CDF">
        <w:rPr>
          <w:b/>
          <w:bCs/>
          <w:sz w:val="20"/>
          <w:szCs w:val="20"/>
        </w:rPr>
        <w:t xml:space="preserve"> </w:t>
      </w:r>
      <w:r>
        <w:rPr>
          <w:b/>
          <w:bCs/>
          <w:sz w:val="20"/>
          <w:szCs w:val="20"/>
        </w:rPr>
        <w:t>Martínez</w:t>
      </w:r>
      <w:r w:rsidR="002F2CDF">
        <w:rPr>
          <w:b/>
          <w:bCs/>
          <w:sz w:val="20"/>
          <w:szCs w:val="20"/>
        </w:rPr>
        <w:t>-</w:t>
      </w:r>
      <w:r>
        <w:rPr>
          <w:b/>
          <w:bCs/>
          <w:sz w:val="20"/>
          <w:szCs w:val="20"/>
        </w:rPr>
        <w:t>Bordes</w:t>
      </w:r>
      <w:r w:rsidR="002F2CDF" w:rsidRPr="00A84CB6">
        <w:rPr>
          <w:b/>
          <w:bCs/>
          <w:smallCaps/>
          <w:sz w:val="20"/>
          <w:szCs w:val="20"/>
          <w:vertAlign w:val="superscript"/>
        </w:rPr>
        <w:t>1</w:t>
      </w:r>
      <w:r w:rsidR="002F2CDF" w:rsidRPr="00A84CB6">
        <w:rPr>
          <w:b/>
          <w:bCs/>
          <w:smallCaps/>
          <w:sz w:val="20"/>
          <w:szCs w:val="20"/>
        </w:rPr>
        <w:t>,</w:t>
      </w:r>
      <w:r w:rsidR="002F2CDF" w:rsidRPr="00022DB1">
        <w:rPr>
          <w:b/>
          <w:bCs/>
          <w:sz w:val="20"/>
          <w:szCs w:val="20"/>
        </w:rPr>
        <w:t xml:space="preserve"> </w:t>
      </w:r>
      <w:r w:rsidR="00047B76">
        <w:rPr>
          <w:b/>
          <w:bCs/>
          <w:sz w:val="20"/>
          <w:szCs w:val="20"/>
        </w:rPr>
        <w:t>Alejandra</w:t>
      </w:r>
      <w:r w:rsidR="002F2CDF">
        <w:rPr>
          <w:b/>
          <w:bCs/>
          <w:sz w:val="20"/>
          <w:szCs w:val="20"/>
        </w:rPr>
        <w:t xml:space="preserve"> </w:t>
      </w:r>
      <w:r w:rsidR="00275A04">
        <w:rPr>
          <w:b/>
          <w:bCs/>
          <w:sz w:val="20"/>
          <w:szCs w:val="20"/>
        </w:rPr>
        <w:t xml:space="preserve">J. </w:t>
      </w:r>
      <w:r w:rsidR="00317897">
        <w:rPr>
          <w:b/>
          <w:bCs/>
          <w:sz w:val="20"/>
          <w:szCs w:val="20"/>
        </w:rPr>
        <w:t>Fuentalba</w:t>
      </w:r>
      <w:r w:rsidR="002F2CDF">
        <w:rPr>
          <w:b/>
          <w:bCs/>
          <w:sz w:val="20"/>
          <w:szCs w:val="20"/>
        </w:rPr>
        <w:t>-</w:t>
      </w:r>
      <w:r w:rsidR="00EA418B">
        <w:rPr>
          <w:b/>
          <w:bCs/>
          <w:sz w:val="20"/>
          <w:szCs w:val="20"/>
        </w:rPr>
        <w:t>Andahur</w:t>
      </w:r>
      <w:r w:rsidR="002F2CDF" w:rsidRPr="00A84CB6">
        <w:rPr>
          <w:b/>
          <w:bCs/>
          <w:smallCaps/>
          <w:sz w:val="20"/>
          <w:szCs w:val="20"/>
          <w:vertAlign w:val="superscript"/>
        </w:rPr>
        <w:t xml:space="preserve"> 2</w:t>
      </w:r>
    </w:p>
    <w:p w14:paraId="6D48490E" w14:textId="77777777" w:rsidR="002F2CDF" w:rsidRDefault="002F2CDF" w:rsidP="002F2CDF">
      <w:pPr>
        <w:pStyle w:val="Default"/>
        <w:jc w:val="center"/>
        <w:rPr>
          <w:sz w:val="20"/>
          <w:szCs w:val="20"/>
        </w:rPr>
      </w:pPr>
    </w:p>
    <w:p w14:paraId="092786C4" w14:textId="77777777" w:rsidR="002F2CDF" w:rsidRPr="0079704E" w:rsidRDefault="002F2CDF" w:rsidP="00D658B1">
      <w:pPr>
        <w:pStyle w:val="Default"/>
        <w:ind w:left="1416" w:hanging="1416"/>
        <w:jc w:val="center"/>
        <w:rPr>
          <w:sz w:val="20"/>
          <w:szCs w:val="20"/>
        </w:rPr>
      </w:pPr>
    </w:p>
    <w:p w14:paraId="4C69B73D" w14:textId="4628AEF7" w:rsidR="002F2CDF" w:rsidRPr="00FB73A9" w:rsidRDefault="002F2CDF" w:rsidP="002F2CDF">
      <w:pPr>
        <w:jc w:val="center"/>
        <w:rPr>
          <w:sz w:val="18"/>
        </w:rPr>
      </w:pPr>
      <w:r w:rsidRPr="00FB73A9">
        <w:rPr>
          <w:sz w:val="18"/>
          <w:vertAlign w:val="superscript"/>
        </w:rPr>
        <w:t>1</w:t>
      </w:r>
      <w:r w:rsidR="00CD38D7">
        <w:rPr>
          <w:sz w:val="18"/>
          <w:vertAlign w:val="superscript"/>
        </w:rPr>
        <w:t xml:space="preserve"> </w:t>
      </w:r>
      <w:r w:rsidR="001D02FD">
        <w:rPr>
          <w:sz w:val="18"/>
        </w:rPr>
        <w:t xml:space="preserve">Facultad de Ingeniería, Arquitectura y </w:t>
      </w:r>
      <w:r w:rsidR="00B820A9">
        <w:rPr>
          <w:sz w:val="18"/>
        </w:rPr>
        <w:t>Diseño</w:t>
      </w:r>
      <w:r w:rsidRPr="00FB73A9">
        <w:rPr>
          <w:sz w:val="18"/>
        </w:rPr>
        <w:t>, Univ</w:t>
      </w:r>
      <w:r>
        <w:rPr>
          <w:sz w:val="18"/>
        </w:rPr>
        <w:t>ersidad</w:t>
      </w:r>
      <w:r w:rsidRPr="00FB73A9">
        <w:rPr>
          <w:sz w:val="18"/>
        </w:rPr>
        <w:t xml:space="preserve"> </w:t>
      </w:r>
      <w:r w:rsidR="00C75167">
        <w:rPr>
          <w:sz w:val="18"/>
        </w:rPr>
        <w:t>San Sebastián, Sede Valdivia</w:t>
      </w:r>
      <w:r w:rsidRPr="00FB73A9">
        <w:rPr>
          <w:sz w:val="18"/>
        </w:rPr>
        <w:t xml:space="preserve">, </w:t>
      </w:r>
      <w:r w:rsidR="0019113A">
        <w:rPr>
          <w:sz w:val="18"/>
        </w:rPr>
        <w:t>Chile</w:t>
      </w:r>
      <w:r w:rsidRPr="00FB73A9">
        <w:rPr>
          <w:sz w:val="18"/>
        </w:rPr>
        <w:t xml:space="preserve">. Email: </w:t>
      </w:r>
      <w:r w:rsidR="0019113A">
        <w:rPr>
          <w:sz w:val="18"/>
        </w:rPr>
        <w:t>manuel.martinez@uss.cl</w:t>
      </w:r>
    </w:p>
    <w:p w14:paraId="0EA7752E" w14:textId="40FE3235" w:rsidR="002F2CDF" w:rsidRPr="00FB73A9" w:rsidRDefault="002F2CDF" w:rsidP="002F2CDF">
      <w:pPr>
        <w:jc w:val="center"/>
        <w:rPr>
          <w:sz w:val="18"/>
        </w:rPr>
      </w:pPr>
      <w:r w:rsidRPr="00FB73A9">
        <w:rPr>
          <w:rStyle w:val="Refdenotaalpie"/>
          <w:rFonts w:cs="Times New Roman"/>
          <w:sz w:val="16"/>
          <w:szCs w:val="18"/>
        </w:rPr>
        <w:t xml:space="preserve">2 </w:t>
      </w:r>
      <w:r w:rsidR="00CD38D7">
        <w:rPr>
          <w:sz w:val="18"/>
        </w:rPr>
        <w:t>Facultad de Ingeniería, Arquitectura y Diseño</w:t>
      </w:r>
      <w:r w:rsidR="00CD38D7" w:rsidRPr="00FB73A9">
        <w:rPr>
          <w:sz w:val="18"/>
        </w:rPr>
        <w:t>, Univ</w:t>
      </w:r>
      <w:r w:rsidR="00CD38D7">
        <w:rPr>
          <w:sz w:val="18"/>
        </w:rPr>
        <w:t>ersidad</w:t>
      </w:r>
      <w:r w:rsidR="00CD38D7" w:rsidRPr="00FB73A9">
        <w:rPr>
          <w:sz w:val="18"/>
        </w:rPr>
        <w:t xml:space="preserve"> </w:t>
      </w:r>
      <w:r w:rsidR="00CD38D7">
        <w:rPr>
          <w:sz w:val="18"/>
        </w:rPr>
        <w:t>San Sebastián, Sede Valdivia</w:t>
      </w:r>
      <w:r w:rsidR="00CD38D7" w:rsidRPr="00FB73A9">
        <w:rPr>
          <w:sz w:val="18"/>
        </w:rPr>
        <w:t xml:space="preserve">, </w:t>
      </w:r>
      <w:r w:rsidR="00CD38D7">
        <w:rPr>
          <w:sz w:val="18"/>
        </w:rPr>
        <w:t>Chile</w:t>
      </w:r>
      <w:r w:rsidR="00CD38D7" w:rsidRPr="00FB73A9">
        <w:rPr>
          <w:sz w:val="18"/>
        </w:rPr>
        <w:t>. Email:</w:t>
      </w:r>
      <w:r w:rsidR="00CD38D7">
        <w:rPr>
          <w:sz w:val="18"/>
        </w:rPr>
        <w:t xml:space="preserve"> </w:t>
      </w:r>
      <w:r w:rsidR="006F7C41" w:rsidRPr="006F7C41">
        <w:rPr>
          <w:sz w:val="18"/>
        </w:rPr>
        <w:t>afuentealbaa@correo.uss.cl</w:t>
      </w:r>
    </w:p>
    <w:p w14:paraId="36E687F5" w14:textId="3D941B87" w:rsidR="000166CA" w:rsidRPr="00264366" w:rsidRDefault="000166CA" w:rsidP="00425947">
      <w:pPr>
        <w:pStyle w:val="Default"/>
        <w:rPr>
          <w:bCs/>
          <w:sz w:val="18"/>
          <w:szCs w:val="16"/>
        </w:rPr>
      </w:pPr>
    </w:p>
    <w:p w14:paraId="1FF9BC06" w14:textId="77777777" w:rsidR="00323F6E" w:rsidRDefault="00323F6E" w:rsidP="00130DAE">
      <w:pPr>
        <w:pStyle w:val="Default"/>
        <w:jc w:val="center"/>
        <w:rPr>
          <w:bCs/>
          <w:smallCaps/>
          <w:sz w:val="20"/>
          <w:szCs w:val="16"/>
        </w:rPr>
      </w:pP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3DDC91DD" w14:textId="2ECC3CD4" w:rsidR="00011AE9" w:rsidRDefault="006A79AE" w:rsidP="00FB73A9">
      <w:r w:rsidRPr="00057FB9">
        <w:t>Esta investigación tiene como fundamento analizar el potencial energético proveniente de la incineración de los residuos sólidos urbanos, en adelante RSU, de la región de Los Ríos, Chile.</w:t>
      </w:r>
      <w:r>
        <w:t xml:space="preserve"> </w:t>
      </w:r>
      <w:r w:rsidR="00011AE9">
        <w:t xml:space="preserve">Se plantea un esquema de cogeneración </w:t>
      </w:r>
      <w:r w:rsidR="0032067B">
        <w:t xml:space="preserve">en un ciclo termodinámico con recalentamiento. </w:t>
      </w:r>
      <w:r w:rsidR="00650879">
        <w:t xml:space="preserve">De los residuos generados se </w:t>
      </w:r>
      <w:r w:rsidR="00786FE6">
        <w:t>podrían</w:t>
      </w:r>
      <w:r w:rsidR="00650879">
        <w:t xml:space="preserve"> </w:t>
      </w:r>
      <w:r w:rsidR="00153CD8">
        <w:t xml:space="preserve">aprovechar </w:t>
      </w:r>
      <w:r w:rsidR="007028E9">
        <w:t>más 155 mil toneladas</w:t>
      </w:r>
      <w:r w:rsidR="005261DD">
        <w:t xml:space="preserve"> anuales</w:t>
      </w:r>
      <w:r w:rsidR="00786FE6">
        <w:t xml:space="preserve"> de cuya</w:t>
      </w:r>
      <w:r w:rsidR="005A0287">
        <w:t xml:space="preserve"> composición se estimó el poder calorífico, LHV</w:t>
      </w:r>
      <w:r w:rsidR="005A0287" w:rsidRPr="00B82974">
        <w:rPr>
          <w:vertAlign w:val="subscript"/>
        </w:rPr>
        <w:t>wet</w:t>
      </w:r>
      <w:r w:rsidR="0076308A">
        <w:t>, en 10,17 MJ/kg</w:t>
      </w:r>
      <w:r w:rsidR="00A83678">
        <w:t xml:space="preserve"> y </w:t>
      </w:r>
      <w:r w:rsidR="009357A4">
        <w:t xml:space="preserve">un caudal de alimentación al proceso de incineración de 4,92 kg/s de RSU. </w:t>
      </w:r>
      <w:r w:rsidR="00D64405">
        <w:t xml:space="preserve">Esto </w:t>
      </w:r>
      <w:r w:rsidR="0013311D">
        <w:t>aportaría 35,8 MW</w:t>
      </w:r>
      <w:r w:rsidR="0013311D" w:rsidRPr="00493833">
        <w:rPr>
          <w:vertAlign w:val="subscript"/>
        </w:rPr>
        <w:t>th</w:t>
      </w:r>
      <w:r w:rsidR="0013311D">
        <w:t xml:space="preserve"> de calor </w:t>
      </w:r>
      <w:r w:rsidR="00AF253E">
        <w:t>que en invierno podría abastecer a 8.300 viviendas de la comuna de Valdivia.</w:t>
      </w:r>
      <w:r w:rsidR="00AD50CB">
        <w:t xml:space="preserve"> Si bien</w:t>
      </w:r>
      <w:r w:rsidR="00AF253E">
        <w:t xml:space="preserve"> </w:t>
      </w:r>
      <w:r w:rsidR="00AD50CB">
        <w:t>l</w:t>
      </w:r>
      <w:r w:rsidR="003A3521">
        <w:t>as emisiones de CO</w:t>
      </w:r>
      <w:r w:rsidR="003A3521" w:rsidRPr="00057FB9">
        <w:rPr>
          <w:vertAlign w:val="subscript"/>
        </w:rPr>
        <w:t>2</w:t>
      </w:r>
      <w:r w:rsidR="003A3521">
        <w:t xml:space="preserve"> </w:t>
      </w:r>
      <w:r w:rsidR="001B38EF">
        <w:t xml:space="preserve">derivadas del proceso de </w:t>
      </w:r>
      <w:r w:rsidR="001B4516">
        <w:t>incineración</w:t>
      </w:r>
      <w:r w:rsidR="001B38EF">
        <w:t xml:space="preserve"> se estiman un 2,9% </w:t>
      </w:r>
      <w:r w:rsidR="00771EDF">
        <w:t>superiores</w:t>
      </w:r>
      <w:r w:rsidR="001B38EF">
        <w:t xml:space="preserve"> a las producidas po</w:t>
      </w:r>
      <w:r w:rsidR="00771EDF">
        <w:t>r la combustión a leña</w:t>
      </w:r>
      <w:r w:rsidR="00BB7100">
        <w:t xml:space="preserve"> </w:t>
      </w:r>
      <w:r w:rsidR="00AD50CB">
        <w:t xml:space="preserve">se prevé que el calor aportado a las viviendas </w:t>
      </w:r>
      <w:r w:rsidR="00C17AA9">
        <w:t>pueda suponer el ahorro de más de 118 mil m</w:t>
      </w:r>
      <w:r w:rsidR="00C17AA9" w:rsidRPr="00057FB9">
        <w:rPr>
          <w:vertAlign w:val="superscript"/>
        </w:rPr>
        <w:t>3</w:t>
      </w:r>
      <w:r w:rsidR="00C17AA9">
        <w:t>st</w:t>
      </w:r>
      <w:r w:rsidR="00057FB9">
        <w:t xml:space="preserve"> de madera.</w:t>
      </w:r>
    </w:p>
    <w:p w14:paraId="2FEA44B8" w14:textId="77777777" w:rsidR="007F04A0" w:rsidRDefault="007F04A0" w:rsidP="00FB73A9"/>
    <w:p w14:paraId="70A85AF5" w14:textId="3116B33E" w:rsidR="009B4D5F" w:rsidRPr="00E34FCE" w:rsidRDefault="0083008D" w:rsidP="00FB73A9">
      <w:r w:rsidRPr="00D452D6">
        <w:rPr>
          <w:b/>
          <w:bCs/>
        </w:rPr>
        <w:t>P</w:t>
      </w:r>
      <w:r w:rsidR="00905898" w:rsidRPr="00905898">
        <w:rPr>
          <w:b/>
          <w:bCs/>
        </w:rPr>
        <w:t>alabras clave</w:t>
      </w:r>
      <w:r w:rsidR="00E72566" w:rsidRPr="00E34FCE">
        <w:rPr>
          <w:b/>
        </w:rPr>
        <w:t>:</w:t>
      </w:r>
      <w:r w:rsidR="00EE1D17" w:rsidRPr="00E34FCE">
        <w:rPr>
          <w:b/>
        </w:rPr>
        <w:t xml:space="preserve"> </w:t>
      </w:r>
      <w:r w:rsidR="00DB1B1E">
        <w:t>Incineración</w:t>
      </w:r>
      <w:r w:rsidR="00E65B53">
        <w:t>;</w:t>
      </w:r>
      <w:r w:rsidR="00DB1B1E">
        <w:t xml:space="preserve"> residuos sólidos urbanos, waste to energy, cogeneración</w:t>
      </w:r>
      <w:r w:rsidR="005E0ECD">
        <w:t>, combustión a leña</w:t>
      </w: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02909356" w14:textId="7616390F" w:rsidR="007925F9" w:rsidRPr="007D63EF" w:rsidRDefault="007925F9" w:rsidP="007925F9">
      <w:pPr>
        <w:rPr>
          <w:lang w:val="en-US"/>
        </w:rPr>
      </w:pPr>
      <w:r w:rsidRPr="007D63EF">
        <w:rPr>
          <w:lang w:val="en-US"/>
        </w:rPr>
        <w:t xml:space="preserve">This research is based on analyzing the energy potential from the incineration of municipal solid waste, hereinafter RSU, from the Los Ríos region, Chile. </w:t>
      </w:r>
      <w:r w:rsidRPr="007925F9">
        <w:rPr>
          <w:lang w:val="en-US"/>
        </w:rPr>
        <w:t xml:space="preserve">A cogeneration scheme is proposed in a thermodynamic cycle with </w:t>
      </w:r>
      <w:r w:rsidR="00B22C9F" w:rsidRPr="00B22C9F">
        <w:rPr>
          <w:lang w:val="en-US"/>
        </w:rPr>
        <w:t>re</w:t>
      </w:r>
      <w:r w:rsidRPr="007925F9">
        <w:rPr>
          <w:lang w:val="en-US"/>
        </w:rPr>
        <w:t xml:space="preserve">heating. </w:t>
      </w:r>
      <w:r w:rsidRPr="007D63EF">
        <w:rPr>
          <w:lang w:val="en-US"/>
        </w:rPr>
        <w:t>Of the waste generated, more than 155 thousand tons per year could be used, whose composition was estimated to be the calorific value, LHV</w:t>
      </w:r>
      <w:r w:rsidRPr="007D63EF">
        <w:rPr>
          <w:vertAlign w:val="subscript"/>
          <w:lang w:val="en-US"/>
        </w:rPr>
        <w:t>wet</w:t>
      </w:r>
      <w:r w:rsidRPr="007D63EF">
        <w:rPr>
          <w:lang w:val="en-US"/>
        </w:rPr>
        <w:t>, at 10.17 MJ/kg and a feed flow to the incineration process of 4.92 kg/s of MSW. This would provide 35.8 MW</w:t>
      </w:r>
      <w:r w:rsidRPr="007D63EF">
        <w:rPr>
          <w:vertAlign w:val="subscript"/>
          <w:lang w:val="en-US"/>
        </w:rPr>
        <w:t>th</w:t>
      </w:r>
      <w:r w:rsidRPr="007D63EF">
        <w:rPr>
          <w:lang w:val="en-US"/>
        </w:rPr>
        <w:t xml:space="preserve"> of heat that in winter could supply 8,300 homes in the municipality of Valdivia. Although the CO</w:t>
      </w:r>
      <w:r w:rsidRPr="007D63EF">
        <w:rPr>
          <w:vertAlign w:val="subscript"/>
          <w:lang w:val="en-US"/>
        </w:rPr>
        <w:t>2</w:t>
      </w:r>
      <w:r w:rsidRPr="007D63EF">
        <w:rPr>
          <w:lang w:val="en-US"/>
        </w:rPr>
        <w:t xml:space="preserve"> emissions derived from the incineration process are estimated to be 2.9% higher than those produced by wood combustion, it is expected that the heat provided to the homes can save more than 118 thousand m</w:t>
      </w:r>
      <w:r w:rsidRPr="007D63EF">
        <w:rPr>
          <w:vertAlign w:val="subscript"/>
          <w:lang w:val="en-US"/>
        </w:rPr>
        <w:t>3</w:t>
      </w:r>
      <w:r w:rsidRPr="007D63EF">
        <w:rPr>
          <w:lang w:val="en-US"/>
        </w:rPr>
        <w:t>st of wood.</w:t>
      </w:r>
    </w:p>
    <w:p w14:paraId="615FDBA7" w14:textId="77777777" w:rsidR="00845B18" w:rsidRPr="007925F9" w:rsidRDefault="00845B18" w:rsidP="00FB73A9">
      <w:pPr>
        <w:rPr>
          <w:rStyle w:val="hps"/>
          <w:rFonts w:cs="Times New Roman"/>
          <w:color w:val="000000"/>
          <w:lang w:val="en-US"/>
        </w:rPr>
      </w:pPr>
    </w:p>
    <w:p w14:paraId="6FCE943A" w14:textId="56B48719" w:rsidR="00D6669B" w:rsidRDefault="00032799" w:rsidP="00FB73A9">
      <w:pPr>
        <w:rPr>
          <w:color w:val="000000"/>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E65B53">
        <w:rPr>
          <w:lang w:val="en-US"/>
        </w:rPr>
        <w:t>incineration</w:t>
      </w:r>
      <w:r w:rsidR="00D41213">
        <w:rPr>
          <w:lang w:val="en-US"/>
        </w:rPr>
        <w:t xml:space="preserve">; </w:t>
      </w:r>
      <w:r w:rsidR="00E65B53">
        <w:rPr>
          <w:lang w:val="en-US"/>
        </w:rPr>
        <w:t>municipal solid waste</w:t>
      </w:r>
      <w:r w:rsidR="0078133B">
        <w:rPr>
          <w:lang w:val="en-US"/>
        </w:rPr>
        <w:t xml:space="preserve">; </w:t>
      </w:r>
      <w:r w:rsidR="00E65B53">
        <w:rPr>
          <w:lang w:val="en-US"/>
        </w:rPr>
        <w:t>waste to energy</w:t>
      </w:r>
      <w:r w:rsidR="0078133B">
        <w:rPr>
          <w:lang w:val="en-US"/>
        </w:rPr>
        <w:t>;</w:t>
      </w:r>
      <w:r w:rsidR="009B4D5F" w:rsidRPr="00E34FCE">
        <w:rPr>
          <w:lang w:val="en-US"/>
        </w:rPr>
        <w:t xml:space="preserve"> </w:t>
      </w:r>
      <w:r w:rsidR="00E65B53">
        <w:rPr>
          <w:lang w:val="en-US"/>
        </w:rPr>
        <w:t>cogeneration</w:t>
      </w:r>
      <w:r w:rsidR="00D41213">
        <w:rPr>
          <w:color w:val="000000"/>
          <w:lang w:val="en-US"/>
        </w:rPr>
        <w:t xml:space="preserve">; </w:t>
      </w:r>
      <w:r w:rsidR="002D40E6">
        <w:rPr>
          <w:color w:val="000000"/>
          <w:lang w:val="en-US"/>
        </w:rPr>
        <w:t>wood combustion</w:t>
      </w: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t>I</w:t>
      </w:r>
      <w:r w:rsidR="00905898" w:rsidRPr="00960B8F">
        <w:t>ntroducción</w:t>
      </w:r>
    </w:p>
    <w:p w14:paraId="73C0BC8B" w14:textId="507FCBAC" w:rsidR="00131062" w:rsidRDefault="00B026E2" w:rsidP="002E2C39">
      <w:r>
        <w:t xml:space="preserve">A nivel mundial </w:t>
      </w:r>
      <w:r w:rsidR="001805DC">
        <w:t xml:space="preserve">se producen </w:t>
      </w:r>
      <w:r w:rsidR="00DD0B64">
        <w:t xml:space="preserve">anualmente </w:t>
      </w:r>
      <w:r w:rsidR="00E714BD">
        <w:t xml:space="preserve">2,01 </w:t>
      </w:r>
      <w:r w:rsidR="001111E4">
        <w:t xml:space="preserve">mil </w:t>
      </w:r>
      <w:r w:rsidR="00E714BD">
        <w:t xml:space="preserve">millones de toneladas </w:t>
      </w:r>
      <w:r w:rsidR="008D2267">
        <w:t xml:space="preserve">de </w:t>
      </w:r>
      <w:r w:rsidR="007276B8">
        <w:t xml:space="preserve">residuos sólidos urbanos, en adelante RSU, </w:t>
      </w:r>
      <w:r w:rsidR="00EE379A">
        <w:t xml:space="preserve">de los cuales, al menos el 33% </w:t>
      </w:r>
      <w:r w:rsidR="006C4B3E">
        <w:t xml:space="preserve">no </w:t>
      </w:r>
      <w:r w:rsidR="007D12C0">
        <w:t xml:space="preserve">son manejados de manera ambientalmente </w:t>
      </w:r>
      <w:r w:rsidR="00995BD4">
        <w:t>[1]</w:t>
      </w:r>
      <w:r w:rsidR="00EF66CB">
        <w:t>.</w:t>
      </w:r>
      <w:r w:rsidR="001E34F8">
        <w:t xml:space="preserve"> </w:t>
      </w:r>
      <w:r w:rsidR="00A27B00">
        <w:t xml:space="preserve">Según </w:t>
      </w:r>
      <w:r w:rsidR="00695BC5">
        <w:t>reporte del Banco Mundial e</w:t>
      </w:r>
      <w:r w:rsidR="00996C32">
        <w:t xml:space="preserve">n el año 2016 </w:t>
      </w:r>
      <w:r w:rsidR="007908DC">
        <w:t xml:space="preserve">las regiones que más residuos generaron fueron </w:t>
      </w:r>
      <w:r w:rsidR="009C11FC">
        <w:t>los ejes</w:t>
      </w:r>
      <w:r w:rsidR="007908DC">
        <w:t xml:space="preserve"> asiát</w:t>
      </w:r>
      <w:r w:rsidR="003D063A">
        <w:t xml:space="preserve">ico-pacífico </w:t>
      </w:r>
      <w:r w:rsidR="00B8112F">
        <w:t xml:space="preserve">y </w:t>
      </w:r>
      <w:r w:rsidR="00D70364">
        <w:t xml:space="preserve">el eje </w:t>
      </w:r>
      <w:r w:rsidR="00B8112F">
        <w:t>Europa</w:t>
      </w:r>
      <w:r w:rsidR="002E687C">
        <w:t>-</w:t>
      </w:r>
      <w:r w:rsidR="00B8112F">
        <w:t xml:space="preserve">Asia Central </w:t>
      </w:r>
      <w:r w:rsidR="003D063A">
        <w:t xml:space="preserve">con </w:t>
      </w:r>
      <w:r w:rsidR="00D70364">
        <w:t xml:space="preserve">468 y 392 millones de toneladas, respectivamente. </w:t>
      </w:r>
      <w:r w:rsidR="00CE63EE">
        <w:t>La proyección</w:t>
      </w:r>
      <w:r w:rsidR="001527C0">
        <w:t xml:space="preserve"> de generación global</w:t>
      </w:r>
      <w:r w:rsidR="00CE63EE">
        <w:t xml:space="preserve"> hacia el año 2050</w:t>
      </w:r>
      <w:r w:rsidR="009935E5">
        <w:t xml:space="preserve"> </w:t>
      </w:r>
      <w:r w:rsidR="000137F5">
        <w:t xml:space="preserve">es de 3,4 </w:t>
      </w:r>
      <w:r w:rsidR="00354A88">
        <w:t xml:space="preserve">mil </w:t>
      </w:r>
      <w:r w:rsidR="000137F5">
        <w:t xml:space="preserve">millones de toneladas </w:t>
      </w:r>
      <w:r w:rsidR="00995BD4">
        <w:t>[2]</w:t>
      </w:r>
      <w:r w:rsidR="00AD469C">
        <w:t xml:space="preserve">. </w:t>
      </w:r>
      <w:r w:rsidR="00E6666E">
        <w:t xml:space="preserve">La generación de RSU </w:t>
      </w:r>
      <w:r w:rsidR="001F0B66">
        <w:t xml:space="preserve">varía ampliamente </w:t>
      </w:r>
      <w:r w:rsidR="004B218B">
        <w:t xml:space="preserve">dentro de cada país y entre países y </w:t>
      </w:r>
      <w:r w:rsidR="00E6666E">
        <w:t>se relaciona con el ingreso per cápita</w:t>
      </w:r>
      <w:r w:rsidR="005E2B37">
        <w:t>, patrones socio culturales y factores climáticos</w:t>
      </w:r>
      <w:r w:rsidR="00046495">
        <w:t xml:space="preserve">. </w:t>
      </w:r>
      <w:r w:rsidR="007B3DD2">
        <w:t>De este modo</w:t>
      </w:r>
      <w:r w:rsidR="00E8123F">
        <w:t xml:space="preserve"> </w:t>
      </w:r>
      <w:r w:rsidR="007F5831">
        <w:t xml:space="preserve">en </w:t>
      </w:r>
      <w:r w:rsidR="00E8123F">
        <w:t xml:space="preserve">la </w:t>
      </w:r>
      <w:r w:rsidR="00E8123F">
        <w:t xml:space="preserve">composición de los residuos </w:t>
      </w:r>
      <w:r w:rsidR="007F5831">
        <w:t>de</w:t>
      </w:r>
      <w:r w:rsidR="00E8123F">
        <w:t xml:space="preserve"> países </w:t>
      </w:r>
      <w:r w:rsidR="007F5831">
        <w:t xml:space="preserve">con elevados ingresos por habitante </w:t>
      </w:r>
      <w:r w:rsidR="00FA614B">
        <w:t xml:space="preserve">los materiales orgánicos </w:t>
      </w:r>
      <w:r w:rsidR="00CC4B4B">
        <w:t>representan el</w:t>
      </w:r>
      <w:r w:rsidR="00F25823">
        <w:t xml:space="preserve"> 34%</w:t>
      </w:r>
      <w:r w:rsidR="00CC4B4B">
        <w:t xml:space="preserve"> de la totalidad</w:t>
      </w:r>
      <w:r w:rsidR="00F25823">
        <w:t xml:space="preserve">, </w:t>
      </w:r>
      <w:r w:rsidR="00CC4B4B">
        <w:t xml:space="preserve">el </w:t>
      </w:r>
      <w:r w:rsidR="00F25823">
        <w:t xml:space="preserve">papel </w:t>
      </w:r>
      <w:r w:rsidR="004D3562">
        <w:t>el</w:t>
      </w:r>
      <w:r w:rsidR="00F25823">
        <w:t xml:space="preserve"> 24%</w:t>
      </w:r>
      <w:r w:rsidR="00CC4B4B">
        <w:t>,</w:t>
      </w:r>
      <w:r w:rsidR="00F25823">
        <w:t xml:space="preserve"> otros residuos </w:t>
      </w:r>
      <w:r w:rsidR="00195CB7">
        <w:t>con 19%</w:t>
      </w:r>
      <w:r w:rsidR="002F5983">
        <w:t>, los plásticos</w:t>
      </w:r>
      <w:r w:rsidR="00676EBF">
        <w:t xml:space="preserve"> </w:t>
      </w:r>
      <w:r w:rsidR="002F5983">
        <w:t xml:space="preserve">con </w:t>
      </w:r>
      <w:r w:rsidR="004D3562">
        <w:t xml:space="preserve">11% y vidrios, metales y textiles con 12%; </w:t>
      </w:r>
      <w:r w:rsidR="00676EBF">
        <w:t xml:space="preserve">mientras que en países con bajos ingresos </w:t>
      </w:r>
      <w:r w:rsidR="00C042D2">
        <w:t xml:space="preserve">los materiales orgánicos </w:t>
      </w:r>
      <w:r w:rsidR="0060601A">
        <w:t>abarcan el 53%</w:t>
      </w:r>
      <w:r w:rsidR="00765CCE">
        <w:t xml:space="preserve">, </w:t>
      </w:r>
      <w:r w:rsidR="00C616DD">
        <w:t xml:space="preserve">otros residuos </w:t>
      </w:r>
      <w:r w:rsidR="007D3CFC">
        <w:t xml:space="preserve">el 28%, </w:t>
      </w:r>
      <w:r w:rsidR="00765CCE">
        <w:t xml:space="preserve">el papel el 6%, plásticos el 7% </w:t>
      </w:r>
      <w:r w:rsidR="00C616DD">
        <w:t xml:space="preserve">y vidrios, metales y textiles con 6% </w:t>
      </w:r>
      <w:r w:rsidR="00995BD4">
        <w:t>[3]</w:t>
      </w:r>
      <w:r w:rsidR="001E34F8">
        <w:t xml:space="preserve">. </w:t>
      </w:r>
    </w:p>
    <w:p w14:paraId="300BBA35" w14:textId="546BDFFD" w:rsidR="0024166B" w:rsidRDefault="002C0E99" w:rsidP="002E2C39">
      <w:r>
        <w:t>Estados Unidos</w:t>
      </w:r>
      <w:r w:rsidR="00DF026C">
        <w:t xml:space="preserve"> es la primera economía del mundo</w:t>
      </w:r>
      <w:r w:rsidR="00C310FD">
        <w:t xml:space="preserve"> y genera la mayor cantidad de RSU a nivel global, </w:t>
      </w:r>
      <w:r w:rsidR="00445901">
        <w:t xml:space="preserve">254,1 millones </w:t>
      </w:r>
      <w:r w:rsidR="00764F0B">
        <w:t>de toneladas</w:t>
      </w:r>
      <w:r w:rsidR="00B347DA">
        <w:t>,</w:t>
      </w:r>
      <w:r w:rsidR="00764F0B">
        <w:t xml:space="preserve"> </w:t>
      </w:r>
      <w:r w:rsidR="00C310FD">
        <w:t>donde</w:t>
      </w:r>
      <w:r>
        <w:t xml:space="preserve"> se </w:t>
      </w:r>
      <w:r w:rsidR="00B85335">
        <w:t xml:space="preserve">recicla el </w:t>
      </w:r>
      <w:r w:rsidR="00511DE6">
        <w:t xml:space="preserve">34% </w:t>
      </w:r>
      <w:r w:rsidR="0096561E">
        <w:t>(</w:t>
      </w:r>
      <w:r>
        <w:t xml:space="preserve">el </w:t>
      </w:r>
      <w:r w:rsidR="00942914">
        <w:t>13</w:t>
      </w:r>
      <w:r>
        <w:t>% de los RSU</w:t>
      </w:r>
      <w:r w:rsidR="0024437F">
        <w:t xml:space="preserve"> </w:t>
      </w:r>
      <w:r w:rsidR="002F0158">
        <w:t xml:space="preserve">se destina </w:t>
      </w:r>
      <w:r w:rsidR="0024437F">
        <w:t xml:space="preserve">para </w:t>
      </w:r>
      <w:r w:rsidR="002F0158">
        <w:t xml:space="preserve">la </w:t>
      </w:r>
      <w:r w:rsidR="0024437F">
        <w:t xml:space="preserve">recuperación de energía </w:t>
      </w:r>
      <w:r w:rsidR="00680E84">
        <w:t>[4])</w:t>
      </w:r>
      <w:r w:rsidR="002F0158" w:rsidRPr="002F0158">
        <w:t xml:space="preserve"> </w:t>
      </w:r>
      <w:r w:rsidR="002F0158">
        <w:t xml:space="preserve">y el </w:t>
      </w:r>
      <w:r w:rsidR="00942914">
        <w:t>53</w:t>
      </w:r>
      <w:r w:rsidR="002F0158">
        <w:t xml:space="preserve">% de estos es depositado en vertederos; </w:t>
      </w:r>
      <w:r w:rsidR="001334FD">
        <w:t xml:space="preserve">en la Unión Europea </w:t>
      </w:r>
      <w:r w:rsidR="005C2600">
        <w:t>el 27,3% de l</w:t>
      </w:r>
      <w:r w:rsidR="003B0815">
        <w:t>os 241 millones de toneladas de residuos generados se recicla</w:t>
      </w:r>
      <w:r w:rsidR="001C4A26">
        <w:t xml:space="preserve">; </w:t>
      </w:r>
      <w:r w:rsidR="00616630">
        <w:t xml:space="preserve">en Japón, </w:t>
      </w:r>
      <w:r w:rsidR="00616630">
        <w:lastRenderedPageBreak/>
        <w:t xml:space="preserve">uno de los líderes mundiales en el manejo de residuos, el 76,72% de los 45,4 millones de toneladas residuos generados son incinerados </w:t>
      </w:r>
      <w:r w:rsidR="00680E84">
        <w:t>[5]</w:t>
      </w:r>
      <w:r w:rsidR="00616630">
        <w:t xml:space="preserve">; </w:t>
      </w:r>
      <w:r w:rsidR="00F47EEC">
        <w:t xml:space="preserve">en China </w:t>
      </w:r>
      <w:r w:rsidR="00870056">
        <w:t>se produ</w:t>
      </w:r>
      <w:r w:rsidR="000625C2">
        <w:t>ce</w:t>
      </w:r>
      <w:r w:rsidR="00870056">
        <w:t xml:space="preserve">n </w:t>
      </w:r>
      <w:r w:rsidR="00960B7C">
        <w:t>22</w:t>
      </w:r>
      <w:r w:rsidR="00E701C1">
        <w:t>6</w:t>
      </w:r>
      <w:r w:rsidR="00870056">
        <w:t xml:space="preserve"> millones de toneladas </w:t>
      </w:r>
      <w:r w:rsidR="00BD768C">
        <w:t>depositándose en vertederos cerca del 52%, incinerándose el 45%</w:t>
      </w:r>
      <w:r w:rsidR="002C24BC">
        <w:t xml:space="preserve"> y destinándose al compostaje el 3% restante </w:t>
      </w:r>
      <w:r w:rsidR="00680E84">
        <w:t>[6]</w:t>
      </w:r>
      <w:r w:rsidR="00FA0C46">
        <w:t xml:space="preserve">; </w:t>
      </w:r>
      <w:r w:rsidR="00CA0062">
        <w:t>en</w:t>
      </w:r>
      <w:r w:rsidR="00F96621">
        <w:t xml:space="preserve"> </w:t>
      </w:r>
      <w:r w:rsidR="0024166B">
        <w:t xml:space="preserve">Irán </w:t>
      </w:r>
      <w:r w:rsidR="00CA0062">
        <w:t>de l</w:t>
      </w:r>
      <w:r w:rsidR="009A19C3">
        <w:t>o</w:t>
      </w:r>
      <w:r w:rsidR="00CA0062">
        <w:t xml:space="preserve">s </w:t>
      </w:r>
      <w:r w:rsidR="00B6399E">
        <w:t xml:space="preserve">20 millones de toneladas de residuos </w:t>
      </w:r>
      <w:r w:rsidR="009A19C3">
        <w:t>generados anualmente</w:t>
      </w:r>
      <w:r w:rsidR="001B24D5">
        <w:t xml:space="preserve"> se recicla</w:t>
      </w:r>
      <w:r w:rsidR="000B19A6">
        <w:t xml:space="preserve"> el 16% </w:t>
      </w:r>
      <w:r w:rsidR="00680E84">
        <w:t>[7]</w:t>
      </w:r>
      <w:r w:rsidR="000B19A6">
        <w:t xml:space="preserve">. </w:t>
      </w:r>
    </w:p>
    <w:p w14:paraId="488114AD" w14:textId="7BAD0688" w:rsidR="002B5CF1" w:rsidRDefault="001A3684" w:rsidP="002E2C39">
      <w:r>
        <w:t xml:space="preserve">En América Latina </w:t>
      </w:r>
      <w:r w:rsidR="00FD258C">
        <w:t xml:space="preserve">se generan </w:t>
      </w:r>
      <w:r w:rsidR="00195C7E">
        <w:t>197 millones de</w:t>
      </w:r>
      <w:r w:rsidR="00FD258C">
        <w:t xml:space="preserve"> to</w:t>
      </w:r>
      <w:r w:rsidR="00195C7E">
        <w:t>neladas de residuos al año</w:t>
      </w:r>
      <w:r w:rsidR="00567314">
        <w:t xml:space="preserve"> de los cuales el 27% se depositan aún en basurales</w:t>
      </w:r>
      <w:r w:rsidR="00382C8B">
        <w:t xml:space="preserve"> mientras que</w:t>
      </w:r>
      <w:r w:rsidR="00372F29">
        <w:t xml:space="preserve"> </w:t>
      </w:r>
      <w:r w:rsidR="003604EE">
        <w:t xml:space="preserve">la cobertura </w:t>
      </w:r>
      <w:r w:rsidR="00B118FF">
        <w:t>de recolección de los residuos generados cubre al 93%</w:t>
      </w:r>
      <w:r w:rsidR="00797E47">
        <w:t xml:space="preserve"> de la población</w:t>
      </w:r>
      <w:r w:rsidR="00B118FF">
        <w:t xml:space="preserve">; no obstante, </w:t>
      </w:r>
      <w:r w:rsidR="006C0392">
        <w:t>40 millones de personas situadas en zonas marginales</w:t>
      </w:r>
      <w:r w:rsidR="007F1735">
        <w:t xml:space="preserve"> y áreas rurales </w:t>
      </w:r>
      <w:r w:rsidR="0003024C">
        <w:t>quedan sin servicio de recolección</w:t>
      </w:r>
      <w:r w:rsidR="007B7B29">
        <w:t xml:space="preserve"> </w:t>
      </w:r>
      <w:r w:rsidR="00752C5D">
        <w:t>[8]</w:t>
      </w:r>
      <w:r w:rsidR="0003024C">
        <w:t>.</w:t>
      </w:r>
      <w:r w:rsidR="00824ABC">
        <w:t xml:space="preserve"> </w:t>
      </w:r>
      <w:r w:rsidR="007D548F">
        <w:t>Características como e</w:t>
      </w:r>
      <w:r w:rsidR="009E6549">
        <w:t xml:space="preserve">l rápido crecimiento urbano y la elevada proporción </w:t>
      </w:r>
      <w:r w:rsidR="00DA0474">
        <w:t xml:space="preserve">de población residiendo en ciudades, alrededor de 80%, </w:t>
      </w:r>
      <w:r w:rsidR="002A32A1">
        <w:t xml:space="preserve">son retos que una deficiente </w:t>
      </w:r>
      <w:r w:rsidR="00270435">
        <w:t xml:space="preserve">gobernanza en el manejo de residuos debe </w:t>
      </w:r>
      <w:r w:rsidR="00746BFC">
        <w:t>asumir</w:t>
      </w:r>
      <w:r w:rsidR="007432AE">
        <w:t xml:space="preserve">; </w:t>
      </w:r>
      <w:r w:rsidR="003D71A7">
        <w:t xml:space="preserve">si bien </w:t>
      </w:r>
      <w:r w:rsidR="000332CE">
        <w:t xml:space="preserve">el promedio de recolección es de </w:t>
      </w:r>
      <w:r w:rsidR="00964586">
        <w:t xml:space="preserve">89,9% y ciudades como </w:t>
      </w:r>
      <w:r w:rsidR="00C727F9">
        <w:t xml:space="preserve">Rio de Janeiro, Ciudad de México, Caracas y Buenos Aires utilizan estaciones de transferencia que </w:t>
      </w:r>
      <w:r w:rsidR="009C076E">
        <w:t xml:space="preserve">cubren al menos el 50% de la recolección, otras </w:t>
      </w:r>
      <w:r w:rsidR="00C30007">
        <w:t xml:space="preserve">regiones de Bolivia, Belize, Nicaragua, Honduras y Panamá </w:t>
      </w:r>
      <w:r w:rsidR="008D0BD1">
        <w:t xml:space="preserve">el 85,2% de la población </w:t>
      </w:r>
      <w:r w:rsidR="00E651DA">
        <w:t xml:space="preserve">utiliza vertederos incontrolados al aire libre </w:t>
      </w:r>
      <w:r w:rsidR="00752C5D">
        <w:t>[9]</w:t>
      </w:r>
      <w:r w:rsidR="009F676B">
        <w:t xml:space="preserve">. </w:t>
      </w:r>
      <w:r w:rsidR="00022CBD">
        <w:t xml:space="preserve">Países como </w:t>
      </w:r>
      <w:r w:rsidR="00964013">
        <w:t xml:space="preserve">Argentina, Brasil, México, Colombia y Costa Rica </w:t>
      </w:r>
      <w:r w:rsidR="000369B9">
        <w:t xml:space="preserve">han ido desarrollando políticas públicas </w:t>
      </w:r>
      <w:r w:rsidR="00B23254">
        <w:t>para la gestión integrada de los RSU bajo un enfoque de sustentabilidad y economía circular</w:t>
      </w:r>
      <w:r w:rsidR="00272103">
        <w:t xml:space="preserve">, </w:t>
      </w:r>
      <w:r w:rsidR="00B71DD5">
        <w:t>utilizando tecnologías basadas</w:t>
      </w:r>
      <w:r w:rsidR="001E1AC0">
        <w:t xml:space="preserve"> en procesos</w:t>
      </w:r>
      <w:r w:rsidR="00272103">
        <w:t xml:space="preserve"> como la digestión anaeróbica y el compostaje</w:t>
      </w:r>
      <w:r w:rsidR="00B71DD5">
        <w:t xml:space="preserve"> </w:t>
      </w:r>
      <w:r w:rsidR="001E1AC0">
        <w:t>para la obtención de fertilizantes y bioenergía</w:t>
      </w:r>
      <w:r w:rsidR="00752C5D">
        <w:t xml:space="preserve"> [10]</w:t>
      </w:r>
      <w:r w:rsidR="002828FB">
        <w:t>.</w:t>
      </w:r>
      <w:r w:rsidR="00102162">
        <w:t xml:space="preserve"> </w:t>
      </w:r>
      <w:r w:rsidR="00445ED8">
        <w:t>Es</w:t>
      </w:r>
      <w:r w:rsidR="0033618A">
        <w:t xml:space="preserve">ta disparidad de políticas de manejo y valorización de los residuos en el continente </w:t>
      </w:r>
      <w:r w:rsidR="00C47162">
        <w:t xml:space="preserve">es consecuencia de </w:t>
      </w:r>
      <w:r w:rsidR="004200D2">
        <w:t>deficientes estrategias institucionales, financieras y participativas</w:t>
      </w:r>
      <w:r w:rsidR="00794F44">
        <w:t xml:space="preserve"> </w:t>
      </w:r>
      <w:r w:rsidR="00AC78A2">
        <w:t>[9]</w:t>
      </w:r>
      <w:r w:rsidR="00794F44">
        <w:t>.</w:t>
      </w:r>
      <w:r w:rsidR="008D04A3">
        <w:t xml:space="preserve"> </w:t>
      </w:r>
      <w:r w:rsidR="00B720C8">
        <w:t xml:space="preserve">Esta situación </w:t>
      </w:r>
      <w:r w:rsidR="00B47A1F">
        <w:t>puede apreciarse en el manejo y disposición final de los desechos</w:t>
      </w:r>
      <w:r w:rsidR="00BF6BB3">
        <w:t xml:space="preserve"> y los riesgos </w:t>
      </w:r>
      <w:r w:rsidR="00B97A78">
        <w:t xml:space="preserve">que </w:t>
      </w:r>
      <w:r w:rsidR="00BF6BB3">
        <w:t xml:space="preserve">a la salud que implica. </w:t>
      </w:r>
      <w:r w:rsidR="000A0E28">
        <w:t xml:space="preserve">Los gases emitidos </w:t>
      </w:r>
      <w:r w:rsidR="00F81608">
        <w:t>y la presencia de compuestos volátiles</w:t>
      </w:r>
      <w:r w:rsidR="00996A46">
        <w:t>,</w:t>
      </w:r>
      <w:r w:rsidR="00F81608">
        <w:t xml:space="preserve"> </w:t>
      </w:r>
      <w:r w:rsidR="00841B8C">
        <w:t>mayormente de azufre</w:t>
      </w:r>
      <w:r w:rsidR="00996A46">
        <w:t>,</w:t>
      </w:r>
      <w:r w:rsidR="00841B8C">
        <w:t xml:space="preserve"> plantean un serio problema de contaminación por olores</w:t>
      </w:r>
      <w:r w:rsidR="00996A46">
        <w:t xml:space="preserve"> </w:t>
      </w:r>
      <w:r w:rsidR="00AC78A2">
        <w:t>[11]</w:t>
      </w:r>
      <w:r w:rsidR="00841B8C">
        <w:t>.</w:t>
      </w:r>
      <w:r w:rsidR="00996A46">
        <w:t xml:space="preserve"> </w:t>
      </w:r>
      <w:r w:rsidR="00882989">
        <w:t xml:space="preserve">En plantas de compostaje la mayor la mayor contribución </w:t>
      </w:r>
      <w:r w:rsidR="007A5F6D">
        <w:t>al</w:t>
      </w:r>
      <w:r w:rsidR="00882989">
        <w:t xml:space="preserve"> olor proviene del NH</w:t>
      </w:r>
      <w:r w:rsidR="00882989" w:rsidRPr="4D18C5A9">
        <w:rPr>
          <w:vertAlign w:val="subscript"/>
        </w:rPr>
        <w:t>3</w:t>
      </w:r>
      <w:r w:rsidR="00882989">
        <w:t xml:space="preserve"> y compuestos oxigenados </w:t>
      </w:r>
      <w:r w:rsidR="00AC78A2">
        <w:t>[12]</w:t>
      </w:r>
      <w:r w:rsidR="00882989">
        <w:t>.</w:t>
      </w:r>
      <w:r w:rsidR="006D5AF9">
        <w:t xml:space="preserve"> </w:t>
      </w:r>
      <w:r w:rsidR="00141A41">
        <w:t xml:space="preserve">Debido al </w:t>
      </w:r>
      <w:r w:rsidR="00C118D4">
        <w:t>filtrado de fracciones líquidas en el suelo</w:t>
      </w:r>
      <w:r w:rsidR="00F251C4">
        <w:t xml:space="preserve"> </w:t>
      </w:r>
      <w:r w:rsidR="00535896">
        <w:t>de</w:t>
      </w:r>
      <w:r w:rsidR="00A9798F">
        <w:t xml:space="preserve"> aquellos lugares no </w:t>
      </w:r>
      <w:r w:rsidR="00535896">
        <w:t xml:space="preserve">habilitados </w:t>
      </w:r>
      <w:r w:rsidR="00F251C4">
        <w:t xml:space="preserve">los parámetros </w:t>
      </w:r>
      <w:r w:rsidR="002E73B6">
        <w:t>fisicoquímicos</w:t>
      </w:r>
      <w:r w:rsidR="002E5D48">
        <w:t xml:space="preserve"> como</w:t>
      </w:r>
      <w:r w:rsidR="00621915">
        <w:t xml:space="preserve"> </w:t>
      </w:r>
      <w:r w:rsidR="005F62AB">
        <w:t xml:space="preserve">presencia de </w:t>
      </w:r>
      <w:r w:rsidR="00621915">
        <w:t xml:space="preserve">coliformes, </w:t>
      </w:r>
      <w:r w:rsidR="005B28CD">
        <w:t>plomo</w:t>
      </w:r>
      <w:r w:rsidR="00C4203F">
        <w:t>, hierro,</w:t>
      </w:r>
      <w:r w:rsidR="00AD4BBA">
        <w:t xml:space="preserve"> </w:t>
      </w:r>
      <w:r w:rsidR="00F251C4">
        <w:t>de</w:t>
      </w:r>
      <w:r w:rsidR="002E73B6">
        <w:t xml:space="preserve"> las</w:t>
      </w:r>
      <w:r w:rsidR="00F251C4">
        <w:t xml:space="preserve"> </w:t>
      </w:r>
      <w:r w:rsidR="002D6143">
        <w:t xml:space="preserve">fuentes de </w:t>
      </w:r>
      <w:r w:rsidR="00F251C4">
        <w:t>agua</w:t>
      </w:r>
      <w:r w:rsidR="003055CD">
        <w:t xml:space="preserve"> </w:t>
      </w:r>
      <w:r w:rsidR="002D6143">
        <w:t>se ven alterados</w:t>
      </w:r>
      <w:r w:rsidR="00C4203F">
        <w:t xml:space="preserve">; </w:t>
      </w:r>
      <w:r w:rsidR="003E6C81">
        <w:t xml:space="preserve">en </w:t>
      </w:r>
      <w:r w:rsidR="00C4203F">
        <w:t xml:space="preserve">la tierra </w:t>
      </w:r>
      <w:r w:rsidR="003E6C81">
        <w:t xml:space="preserve">se aprecian incrementos de los niveles de </w:t>
      </w:r>
      <w:r w:rsidR="002E5D48">
        <w:t>cobre, cadmio, plomo y zinc</w:t>
      </w:r>
      <w:r w:rsidR="00D9735C">
        <w:t xml:space="preserve"> </w:t>
      </w:r>
      <w:r w:rsidR="00AC78A2">
        <w:t>[13]</w:t>
      </w:r>
      <w:r w:rsidR="00E9326D">
        <w:t>.</w:t>
      </w:r>
    </w:p>
    <w:p w14:paraId="784B8073" w14:textId="38A2EE80" w:rsidR="00BC55AF" w:rsidRDefault="00466373" w:rsidP="4D18C5A9">
      <w:r>
        <w:t xml:space="preserve">En Chile </w:t>
      </w:r>
      <w:r w:rsidR="005C58BE">
        <w:t>la Política Nacional de Residuos Sólidos 2018-2030 establece las directrices para la gestión integral de los residuos</w:t>
      </w:r>
      <w:r w:rsidR="00AB2B9B">
        <w:t xml:space="preserve">; </w:t>
      </w:r>
      <w:r w:rsidR="00CB622C">
        <w:t xml:space="preserve">también aplican </w:t>
      </w:r>
      <w:r w:rsidR="00F60EDA">
        <w:t xml:space="preserve">códigos y resoluciones que obligan </w:t>
      </w:r>
      <w:r w:rsidR="0007737A">
        <w:t xml:space="preserve">a los municipios a recolectar, transportar y eliminar adecuadamente </w:t>
      </w:r>
      <w:r w:rsidR="004F39F7">
        <w:t xml:space="preserve">desperdicios y residuos depositados o generados en vías urbanas, </w:t>
      </w:r>
      <w:r w:rsidR="00251F77">
        <w:t xml:space="preserve">y al cumplimiento de normas sanitarias mínimas en </w:t>
      </w:r>
      <w:r w:rsidR="00B718A7">
        <w:t>la</w:t>
      </w:r>
      <w:r w:rsidR="00876506">
        <w:t xml:space="preserve">s condiciones operativas de basurales </w:t>
      </w:r>
      <w:r w:rsidR="00AC78A2">
        <w:t>[14]</w:t>
      </w:r>
      <w:r w:rsidR="00715DC8">
        <w:t>.</w:t>
      </w:r>
      <w:r w:rsidR="00146274">
        <w:t xml:space="preserve"> </w:t>
      </w:r>
      <w:r w:rsidR="00255386">
        <w:t xml:space="preserve">La cantidad de RSU producida en 2017 fue de </w:t>
      </w:r>
      <w:r w:rsidR="00734E32">
        <w:t>7,49 millones de toneladas</w:t>
      </w:r>
      <w:r w:rsidR="004F1A80">
        <w:t xml:space="preserve"> destacándose la Región Metropolitana </w:t>
      </w:r>
      <w:r w:rsidR="00E74297">
        <w:t xml:space="preserve">que </w:t>
      </w:r>
      <w:r w:rsidR="00E74297">
        <w:t>alcanzó el 41,8% de lo producido.</w:t>
      </w:r>
      <w:r w:rsidR="00BD5A06">
        <w:t xml:space="preserve"> </w:t>
      </w:r>
      <w:r w:rsidR="000D6414">
        <w:t>La pro</w:t>
      </w:r>
      <w:r w:rsidR="00683AC5">
        <w:t>ducción per cápita fue de 1,22 kg</w:t>
      </w:r>
      <w:r w:rsidR="001A55D6">
        <w:t xml:space="preserve"> por persona al día. </w:t>
      </w:r>
      <w:r w:rsidR="00F44CA8">
        <w:t xml:space="preserve">El </w:t>
      </w:r>
      <w:r w:rsidR="0079477A">
        <w:t>96,49% de RSU generado</w:t>
      </w:r>
      <w:r w:rsidR="003E2010">
        <w:t>s</w:t>
      </w:r>
      <w:r w:rsidR="0079477A">
        <w:t xml:space="preserve"> se dispone </w:t>
      </w:r>
      <w:r w:rsidR="009D0BC1">
        <w:t>en basurales, vertederos y rellenos sanitarios;</w:t>
      </w:r>
      <w:r w:rsidR="00B0435C">
        <w:t xml:space="preserve"> la proporción restante se recicla y valoriza.</w:t>
      </w:r>
      <w:r w:rsidR="00AC52AF">
        <w:t xml:space="preserve"> </w:t>
      </w:r>
      <w:r w:rsidR="00252F32">
        <w:t xml:space="preserve">En la región de Los Ríos, </w:t>
      </w:r>
      <w:r w:rsidR="00C836D4">
        <w:t xml:space="preserve">que cuenta con más de 384.000 habitantes </w:t>
      </w:r>
      <w:r w:rsidR="00AC78A2">
        <w:t>[15]</w:t>
      </w:r>
      <w:r w:rsidR="00252F32">
        <w:t xml:space="preserve">, </w:t>
      </w:r>
      <w:r w:rsidR="00310B9A">
        <w:t xml:space="preserve">la producción fue de </w:t>
      </w:r>
      <w:r w:rsidR="007412FE">
        <w:t>0,17 millones de toneladas</w:t>
      </w:r>
      <w:r w:rsidR="003B1179">
        <w:t xml:space="preserve"> </w:t>
      </w:r>
      <w:r w:rsidR="000A5384">
        <w:t>(173.445 t) disponiéndose la totalidad</w:t>
      </w:r>
      <w:r w:rsidR="005154ED">
        <w:t xml:space="preserve"> en </w:t>
      </w:r>
      <w:r w:rsidR="00D112E3">
        <w:t xml:space="preserve">vertederos </w:t>
      </w:r>
      <w:r w:rsidR="009D72FF">
        <w:t>[16].</w:t>
      </w:r>
    </w:p>
    <w:p w14:paraId="038248B6" w14:textId="505C98E6" w:rsidR="0087423C" w:rsidRDefault="00F610BA" w:rsidP="002E2C39">
      <w:r>
        <w:t xml:space="preserve">El reciclaje de RSU y/o su valorización para la recuperación de energía son vías </w:t>
      </w:r>
      <w:r w:rsidR="000F1AD3">
        <w:t xml:space="preserve">para disminuir la carga sobre </w:t>
      </w:r>
      <w:r w:rsidR="0052486D">
        <w:t xml:space="preserve">los lugares de disposición final. </w:t>
      </w:r>
      <w:r w:rsidR="00070BBD">
        <w:t xml:space="preserve">Las tecnologías WtE, Waste to Energy, </w:t>
      </w:r>
      <w:r w:rsidR="00676434">
        <w:t xml:space="preserve">podrían contribuir a mitigar los retos de </w:t>
      </w:r>
      <w:r w:rsidR="00E7550B">
        <w:t>una gestión sustentable de los residuos sólidos y suplir l</w:t>
      </w:r>
      <w:r w:rsidR="00A446FC">
        <w:t xml:space="preserve">a demanda energética </w:t>
      </w:r>
      <w:r w:rsidR="00893FC8">
        <w:t>[17]</w:t>
      </w:r>
      <w:r w:rsidR="00A446FC">
        <w:t>.</w:t>
      </w:r>
      <w:r w:rsidR="007147E5">
        <w:t xml:space="preserve"> </w:t>
      </w:r>
      <w:r w:rsidR="00E20392">
        <w:t xml:space="preserve">La energía </w:t>
      </w:r>
      <w:r w:rsidR="00451887">
        <w:t xml:space="preserve">contenida en la fracción orgánica de los </w:t>
      </w:r>
      <w:r w:rsidR="00EF4784">
        <w:t xml:space="preserve">RSU se puede extraer para producir calor y electricidad. Dependiendo </w:t>
      </w:r>
      <w:r w:rsidR="00C80428">
        <w:t xml:space="preserve">de la composición y contenido de humedad la energía </w:t>
      </w:r>
      <w:r w:rsidR="00DA6F47">
        <w:t xml:space="preserve">se plantean dos vías de energética: conversión bioquímica y </w:t>
      </w:r>
      <w:r w:rsidR="000360A9">
        <w:t>conversión termoquímica</w:t>
      </w:r>
      <w:r w:rsidR="00472EB5">
        <w:t xml:space="preserve">. </w:t>
      </w:r>
      <w:r w:rsidR="00486DEF">
        <w:t>En la primera</w:t>
      </w:r>
      <w:r w:rsidR="002503AF">
        <w:t>,</w:t>
      </w:r>
      <w:r w:rsidR="00486DEF">
        <w:t xml:space="preserve"> </w:t>
      </w:r>
      <w:r w:rsidR="007A74CC">
        <w:t xml:space="preserve">implica </w:t>
      </w:r>
      <w:r w:rsidR="000F7CEA">
        <w:t xml:space="preserve">la descomposición biológica </w:t>
      </w:r>
      <w:r w:rsidR="00D656F0">
        <w:t>de los componentes orgánicos de los residuos debido a la acción micr</w:t>
      </w:r>
      <w:r w:rsidR="00E32EF6">
        <w:t>obiana en ausencia</w:t>
      </w:r>
      <w:r w:rsidR="00480475">
        <w:t xml:space="preserve"> de oxígeno (digestión anaeróbica) o presencia de oxígeno (digestión aeróbica) para </w:t>
      </w:r>
      <w:r w:rsidR="002503AF">
        <w:t xml:space="preserve">la producción de compostaje o biogás. En la segunda, </w:t>
      </w:r>
      <w:r w:rsidR="002F6E9C">
        <w:t>consiste en la descomposi</w:t>
      </w:r>
      <w:r w:rsidR="00AC723A">
        <w:t xml:space="preserve">ción térmica de la materia orgánica para producir energía calorífica, </w:t>
      </w:r>
      <w:r w:rsidR="00CD2BD1">
        <w:t xml:space="preserve">eléctrica, </w:t>
      </w:r>
      <w:r w:rsidR="006C55D5">
        <w:t>combustibles</w:t>
      </w:r>
      <w:r w:rsidR="00763366">
        <w:t xml:space="preserve"> líquidos y gas</w:t>
      </w:r>
      <w:r w:rsidR="00923F5B">
        <w:t xml:space="preserve"> por medio de procesos de incineración, gasificación y pi</w:t>
      </w:r>
      <w:r w:rsidR="0064691A">
        <w:t>rólisis</w:t>
      </w:r>
      <w:r w:rsidR="00F34918">
        <w:t xml:space="preserve"> </w:t>
      </w:r>
      <w:r w:rsidR="00893FC8">
        <w:t>[18]</w:t>
      </w:r>
      <w:r w:rsidR="00F34918">
        <w:t xml:space="preserve">. </w:t>
      </w:r>
      <w:r w:rsidR="009725C7">
        <w:t xml:space="preserve">La incineración </w:t>
      </w:r>
      <w:r w:rsidR="00C5165D">
        <w:t xml:space="preserve">se fundamenta en </w:t>
      </w:r>
      <w:r w:rsidR="00C74F29">
        <w:t xml:space="preserve">una reacción de combustión de la parte combustible de los residuos </w:t>
      </w:r>
      <w:r w:rsidR="00EB7FDE">
        <w:t>a temperaturas superiores a 800°C, liberando energía térmica, gases de combustión y cenizas</w:t>
      </w:r>
      <w:r w:rsidR="00DF117C">
        <w:t>; el calor recuperado se utiliza para producir vapor</w:t>
      </w:r>
      <w:r w:rsidR="00B55B96">
        <w:t xml:space="preserve"> y también electricidad. Debido a</w:t>
      </w:r>
      <w:r w:rsidR="00027323">
        <w:t>l alto rendimiento de</w:t>
      </w:r>
      <w:r w:rsidR="00744FF7">
        <w:t xml:space="preserve">l proceso y gran reducción del volumen de los residuos, </w:t>
      </w:r>
      <w:r w:rsidR="005E34F3">
        <w:t xml:space="preserve">es el proceso de recuperación energética más utilizado </w:t>
      </w:r>
      <w:r w:rsidR="00205714">
        <w:t>[1]</w:t>
      </w:r>
      <w:r w:rsidR="005E34F3">
        <w:t xml:space="preserve">. </w:t>
      </w:r>
      <w:r w:rsidR="00086C6F">
        <w:t xml:space="preserve">La </w:t>
      </w:r>
      <w:r w:rsidR="00072963">
        <w:t xml:space="preserve">gasificación se orienta hacia la </w:t>
      </w:r>
      <w:r w:rsidR="009A5BFB">
        <w:t>transformación de un combustible sólido, en este caso RSU, a uno gaseoso</w:t>
      </w:r>
      <w:r w:rsidR="78C0E433">
        <w:t>,</w:t>
      </w:r>
      <w:r w:rsidR="00320A70">
        <w:t xml:space="preserve"> “syngas”</w:t>
      </w:r>
      <w:r w:rsidR="1EF35F9C">
        <w:t>,</w:t>
      </w:r>
      <w:r w:rsidR="00881451">
        <w:t xml:space="preserve"> por medio de la oxidación parcial del combustible sólido</w:t>
      </w:r>
      <w:r w:rsidR="001B3E3C">
        <w:t xml:space="preserve"> en presencia de un oxidante en cantidades menores</w:t>
      </w:r>
      <w:r w:rsidR="0036774B">
        <w:t xml:space="preserve"> que las requeridas en una reacción estequiométrica. La fracción sólida de los productos</w:t>
      </w:r>
      <w:r w:rsidR="003C086E">
        <w:t xml:space="preserve"> contiene compuestos de carbono y cenizas </w:t>
      </w:r>
      <w:r w:rsidR="001D6032">
        <w:t>[19]</w:t>
      </w:r>
      <w:r w:rsidR="003C086E">
        <w:t xml:space="preserve">. </w:t>
      </w:r>
      <w:bookmarkStart w:id="0" w:name="_Int_uyWzv4Yn"/>
      <w:r w:rsidR="00010FE4">
        <w:t>La pirólisis</w:t>
      </w:r>
      <w:bookmarkEnd w:id="0"/>
      <w:r w:rsidR="00010FE4">
        <w:t xml:space="preserve"> es un proceso de degradación térmica</w:t>
      </w:r>
      <w:r w:rsidR="00C64807">
        <w:t xml:space="preserve"> de los residuos en ausencia total de aire</w:t>
      </w:r>
      <w:r w:rsidR="007D58D4">
        <w:t xml:space="preserve"> que produce productos reciclables</w:t>
      </w:r>
      <w:r w:rsidR="00C478CB">
        <w:t xml:space="preserve"> incluyendo carbón, </w:t>
      </w:r>
      <w:r w:rsidR="00E16958">
        <w:t>aceite y gases combustibles</w:t>
      </w:r>
      <w:r w:rsidR="00150E9B">
        <w:t xml:space="preserve">; </w:t>
      </w:r>
      <w:r w:rsidR="008C3571">
        <w:t xml:space="preserve">está adquiriendo mayor </w:t>
      </w:r>
      <w:r w:rsidR="00E07948">
        <w:t>relevancia</w:t>
      </w:r>
      <w:r w:rsidR="00EA301A">
        <w:t xml:space="preserve"> sobre todo en ciudades y pequeñas poblaciones </w:t>
      </w:r>
      <w:r w:rsidR="00A2292B">
        <w:t xml:space="preserve">debido </w:t>
      </w:r>
      <w:r w:rsidR="00645FF7">
        <w:t>a la inclinación</w:t>
      </w:r>
      <w:r w:rsidR="0073433A">
        <w:t xml:space="preserve"> de evitar el transporte </w:t>
      </w:r>
      <w:r w:rsidR="00645FF7">
        <w:t xml:space="preserve">de residuos </w:t>
      </w:r>
      <w:r w:rsidR="0073433A">
        <w:t>a larga distancia</w:t>
      </w:r>
      <w:r w:rsidR="00645FF7">
        <w:t xml:space="preserve"> </w:t>
      </w:r>
      <w:r w:rsidR="003A7076">
        <w:t>[20]</w:t>
      </w:r>
      <w:r w:rsidR="0067752D">
        <w:t>.</w:t>
      </w:r>
    </w:p>
    <w:p w14:paraId="14AF58B5" w14:textId="49AE3C11" w:rsidR="006F231D" w:rsidRDefault="007E7268" w:rsidP="00FB73A9">
      <w:r>
        <w:t xml:space="preserve">La combustión </w:t>
      </w:r>
      <w:r w:rsidR="00032B54">
        <w:t>de</w:t>
      </w:r>
      <w:r>
        <w:t xml:space="preserve"> leña</w:t>
      </w:r>
      <w:r w:rsidR="00032B54">
        <w:t xml:space="preserve"> residencial es un </w:t>
      </w:r>
      <w:r w:rsidR="445B6EA6">
        <w:t xml:space="preserve">método ampliamente utilizado en el sur de Chile para el acondicionamiento de los hogares en los meses de invierno. </w:t>
      </w:r>
      <w:r w:rsidR="44DFA0C8">
        <w:t>Sin embargo, ocasiona un</w:t>
      </w:r>
      <w:r w:rsidR="00032B54">
        <w:t xml:space="preserve"> problema ambiental que afecta a la población </w:t>
      </w:r>
      <w:r w:rsidR="24321361">
        <w:t xml:space="preserve">de tales regiones </w:t>
      </w:r>
      <w:r w:rsidR="00FE08F7">
        <w:t xml:space="preserve">del país. </w:t>
      </w:r>
      <w:r w:rsidR="002C1D9A">
        <w:t xml:space="preserve">En el año 2019 </w:t>
      </w:r>
      <w:r w:rsidR="6AC2E7D6">
        <w:t>las emisiones de CO</w:t>
      </w:r>
      <w:r w:rsidR="6AC2E7D6" w:rsidRPr="003A7076">
        <w:rPr>
          <w:vertAlign w:val="subscript"/>
        </w:rPr>
        <w:t>2</w:t>
      </w:r>
      <w:r w:rsidR="6AC2E7D6">
        <w:t xml:space="preserve"> </w:t>
      </w:r>
      <w:r w:rsidR="5C70622E">
        <w:t xml:space="preserve">por este concepto </w:t>
      </w:r>
      <w:r w:rsidR="002C1D9A">
        <w:t xml:space="preserve">fueron </w:t>
      </w:r>
      <w:r w:rsidR="00B94E31">
        <w:t xml:space="preserve">de 8,32 millones de toneladas y </w:t>
      </w:r>
      <w:r w:rsidR="08360D7F">
        <w:t xml:space="preserve">de </w:t>
      </w:r>
      <w:r w:rsidR="00B94E31">
        <w:t xml:space="preserve">CO </w:t>
      </w:r>
      <w:r w:rsidR="292E35EB">
        <w:t xml:space="preserve">de </w:t>
      </w:r>
      <w:r w:rsidR="00B94E31">
        <w:t>1,81 millones de toneladas</w:t>
      </w:r>
      <w:r w:rsidR="00723F3C">
        <w:t xml:space="preserve"> </w:t>
      </w:r>
      <w:r w:rsidR="00472224">
        <w:t>[21]</w:t>
      </w:r>
      <w:r w:rsidR="00B94E31">
        <w:t xml:space="preserve">. </w:t>
      </w:r>
      <w:r w:rsidR="00AC0BCB">
        <w:t xml:space="preserve">La región de Los </w:t>
      </w:r>
      <w:r w:rsidR="00AC0BCB">
        <w:lastRenderedPageBreak/>
        <w:t>Ríos</w:t>
      </w:r>
      <w:r w:rsidR="00987E48">
        <w:t xml:space="preserve"> </w:t>
      </w:r>
      <w:r w:rsidR="00AC0BCB">
        <w:t xml:space="preserve">es la </w:t>
      </w:r>
      <w:r w:rsidR="00273AA6">
        <w:t>cuarta región que mayor cantidad de CO</w:t>
      </w:r>
      <w:r w:rsidR="00273AA6" w:rsidRPr="00472224">
        <w:rPr>
          <w:vertAlign w:val="subscript"/>
        </w:rPr>
        <w:t>2</w:t>
      </w:r>
      <w:r w:rsidR="00273AA6">
        <w:t xml:space="preserve"> emite</w:t>
      </w:r>
      <w:r w:rsidR="00090264">
        <w:t xml:space="preserve">, en el orden de 1,126 millones de toneladas. </w:t>
      </w:r>
      <w:r w:rsidR="00657386">
        <w:t xml:space="preserve">La </w:t>
      </w:r>
      <w:r w:rsidR="00822EC3">
        <w:t>ciudad</w:t>
      </w:r>
      <w:r w:rsidR="00657386">
        <w:t xml:space="preserve"> de Valdivia </w:t>
      </w:r>
      <w:r w:rsidR="000213C7">
        <w:t>cuenta con</w:t>
      </w:r>
      <w:r w:rsidR="00657386">
        <w:t xml:space="preserve"> 1</w:t>
      </w:r>
      <w:r w:rsidR="000213C7">
        <w:t>55</w:t>
      </w:r>
      <w:r w:rsidR="00657386">
        <w:t>.000 habitantes</w:t>
      </w:r>
      <w:r w:rsidR="00442E5E">
        <w:t xml:space="preserve"> (área urbana</w:t>
      </w:r>
      <w:r w:rsidR="000213C7">
        <w:t>)</w:t>
      </w:r>
      <w:r w:rsidR="00EB073B">
        <w:t xml:space="preserve"> y </w:t>
      </w:r>
      <w:r w:rsidR="004436B2">
        <w:t xml:space="preserve">49.300 viviendas </w:t>
      </w:r>
      <w:r w:rsidR="00472224">
        <w:t>[15]</w:t>
      </w:r>
      <w:r w:rsidR="004436B2">
        <w:t>,</w:t>
      </w:r>
      <w:r w:rsidR="00913241">
        <w:t xml:space="preserve"> genera cerca de </w:t>
      </w:r>
      <w:r w:rsidR="005956A7">
        <w:t>320.324,36</w:t>
      </w:r>
      <w:r w:rsidR="004308B8">
        <w:t xml:space="preserve"> toneladas de CO</w:t>
      </w:r>
      <w:r w:rsidR="004308B8" w:rsidRPr="00CB41D9">
        <w:rPr>
          <w:vertAlign w:val="subscript"/>
        </w:rPr>
        <w:t>2</w:t>
      </w:r>
      <w:r w:rsidR="004308B8">
        <w:t xml:space="preserve"> y 119.000 toneladas de CO</w:t>
      </w:r>
      <w:r w:rsidR="00CA0824">
        <w:t xml:space="preserve"> </w:t>
      </w:r>
      <w:r w:rsidR="00CB41D9">
        <w:t>[22]</w:t>
      </w:r>
      <w:r w:rsidR="004308B8">
        <w:t>.</w:t>
      </w:r>
      <w:r w:rsidR="003E6AC6">
        <w:t xml:space="preserve"> El consumo</w:t>
      </w:r>
      <w:r w:rsidR="005B6C3E">
        <w:t xml:space="preserve"> anual</w:t>
      </w:r>
      <w:r w:rsidR="003E6AC6">
        <w:t xml:space="preserve"> de leña se estima </w:t>
      </w:r>
      <w:r w:rsidR="00E66D61">
        <w:t xml:space="preserve">en </w:t>
      </w:r>
      <w:r w:rsidR="00792C89">
        <w:t>652</w:t>
      </w:r>
      <w:r w:rsidR="00E66D61">
        <w:t xml:space="preserve">.000 </w:t>
      </w:r>
      <w:r w:rsidR="00E0249F">
        <w:t>m</w:t>
      </w:r>
      <w:r w:rsidR="00E0249F" w:rsidRPr="4D18C5A9">
        <w:rPr>
          <w:vertAlign w:val="superscript"/>
        </w:rPr>
        <w:t>3</w:t>
      </w:r>
      <w:r w:rsidR="00E0249F">
        <w:t xml:space="preserve">st (estéreo) </w:t>
      </w:r>
      <w:r w:rsidR="005B6C3E">
        <w:t>promediando</w:t>
      </w:r>
      <w:r w:rsidR="00EB12A4">
        <w:t xml:space="preserve"> un consumo energético anual de </w:t>
      </w:r>
      <w:r w:rsidR="005B6C3E">
        <w:t xml:space="preserve">19.165 kWh/año por vivienda </w:t>
      </w:r>
      <w:r w:rsidR="00CB41D9">
        <w:t>[23]</w:t>
      </w:r>
      <w:r w:rsidR="77052FD7">
        <w:t xml:space="preserve">. </w:t>
      </w:r>
      <w:r w:rsidR="00075078">
        <w:t xml:space="preserve">Las emisiones de gases provenientes de la combustión de leña </w:t>
      </w:r>
      <w:r w:rsidR="00230B11">
        <w:t xml:space="preserve">junto con las características del clima de la región </w:t>
      </w:r>
      <w:r w:rsidR="002241EC">
        <w:t xml:space="preserve">derivan en la sucesión de </w:t>
      </w:r>
      <w:r w:rsidR="00EA68CE">
        <w:t xml:space="preserve">episodios críticos de contaminación ambiental </w:t>
      </w:r>
      <w:r w:rsidR="00AF61DA">
        <w:t>donde</w:t>
      </w:r>
      <w:r w:rsidR="003459FA">
        <w:t>,</w:t>
      </w:r>
      <w:r w:rsidR="00AF61DA">
        <w:t xml:space="preserve"> entre los años 2018 y 2020</w:t>
      </w:r>
      <w:r w:rsidR="003459FA">
        <w:t>,</w:t>
      </w:r>
      <w:r w:rsidR="00AF61DA">
        <w:t xml:space="preserve"> </w:t>
      </w:r>
      <w:r w:rsidR="003459FA">
        <w:t xml:space="preserve">ocurrieron 63 </w:t>
      </w:r>
      <w:r w:rsidR="00973755">
        <w:t xml:space="preserve">incidentes críticos </w:t>
      </w:r>
      <w:r w:rsidR="00844B92">
        <w:t xml:space="preserve">con concentraciones </w:t>
      </w:r>
      <w:r w:rsidR="00B53757">
        <w:t xml:space="preserve">de </w:t>
      </w:r>
      <w:r w:rsidR="00207532">
        <w:t>material particulado fino</w:t>
      </w:r>
      <w:r w:rsidR="00706C67">
        <w:t>,</w:t>
      </w:r>
      <w:r w:rsidR="00207532">
        <w:t xml:space="preserve"> </w:t>
      </w:r>
      <w:r w:rsidR="000008BA">
        <w:t>PM2.5</w:t>
      </w:r>
      <w:r w:rsidR="00706C67">
        <w:t xml:space="preserve">, </w:t>
      </w:r>
      <w:r w:rsidR="00D20ED4">
        <w:t xml:space="preserve">superiores a </w:t>
      </w:r>
      <w:r w:rsidR="00773E36">
        <w:t xml:space="preserve">80 </w:t>
      </w:r>
      <w:r w:rsidR="00773E36">
        <w:rPr>
          <w:rFonts w:cs="Times New Roman"/>
        </w:rPr>
        <w:t>µ</w:t>
      </w:r>
      <w:r w:rsidR="00773E36">
        <w:t>g/m</w:t>
      </w:r>
      <w:r w:rsidR="00773E36" w:rsidRPr="000C2EB0">
        <w:rPr>
          <w:vertAlign w:val="superscript"/>
        </w:rPr>
        <w:t>3</w:t>
      </w:r>
      <w:r w:rsidR="00585FA0">
        <w:t xml:space="preserve"> y </w:t>
      </w:r>
      <w:r w:rsidR="00452FCA">
        <w:t>45 episodios en el año 2021</w:t>
      </w:r>
      <w:r w:rsidR="00DC145B">
        <w:t xml:space="preserve"> </w:t>
      </w:r>
      <w:r w:rsidR="00CB41D9">
        <w:t>[24]</w:t>
      </w:r>
      <w:r w:rsidR="00452FCA">
        <w:t xml:space="preserve">. </w:t>
      </w:r>
      <w:r w:rsidR="000C2EB0">
        <w:t xml:space="preserve">Dado </w:t>
      </w:r>
      <w:r w:rsidR="000D2AA6">
        <w:t xml:space="preserve">que se plantean dos problemas, </w:t>
      </w:r>
      <w:r w:rsidR="00D125BB">
        <w:t>depósitos</w:t>
      </w:r>
      <w:r w:rsidR="000D2AA6">
        <w:t xml:space="preserve"> de RSU </w:t>
      </w:r>
      <w:r w:rsidR="007B5538">
        <w:t>e</w:t>
      </w:r>
      <w:r w:rsidR="00D125BB">
        <w:t>n vertederos</w:t>
      </w:r>
      <w:r w:rsidR="00B9137F">
        <w:t xml:space="preserve"> y contaminación ambiental por el uso de leña para calefacción, esta investigación se centra </w:t>
      </w:r>
      <w:r w:rsidR="00217FCE">
        <w:t>en las posibilidades de uso de tecnologías WtE</w:t>
      </w:r>
      <w:r w:rsidR="00966C98">
        <w:t>, como la incineración</w:t>
      </w:r>
      <w:r w:rsidR="00D95B16">
        <w:t xml:space="preserve"> </w:t>
      </w:r>
      <w:r w:rsidR="0030304A">
        <w:t>de RSU</w:t>
      </w:r>
      <w:r w:rsidR="00370C6A">
        <w:t>,</w:t>
      </w:r>
      <w:r w:rsidR="0030304A">
        <w:t xml:space="preserve"> </w:t>
      </w:r>
      <w:r w:rsidR="00D95B16">
        <w:t>para la cogeneración de electricidad y calor</w:t>
      </w:r>
      <w:r w:rsidR="00966C98">
        <w:t xml:space="preserve"> </w:t>
      </w:r>
      <w:r w:rsidR="0030304A">
        <w:t>a través</w:t>
      </w:r>
      <w:r w:rsidR="00DE3A97">
        <w:t xml:space="preserve"> </w:t>
      </w:r>
      <w:r w:rsidR="0030304A">
        <w:t>d</w:t>
      </w:r>
      <w:r w:rsidR="00DE3A97">
        <w:t xml:space="preserve">el aprovechamiento </w:t>
      </w:r>
      <w:r w:rsidR="00C460DB">
        <w:t xml:space="preserve">del potencial </w:t>
      </w:r>
      <w:r w:rsidR="00DE3A97">
        <w:t>energético de los RSU</w:t>
      </w:r>
      <w:r w:rsidR="00683E73">
        <w:t xml:space="preserve"> en la región de Los Ríos, Chile.</w:t>
      </w:r>
      <w:r w:rsidR="00966C98">
        <w:t xml:space="preserve"> </w:t>
      </w:r>
    </w:p>
    <w:p w14:paraId="5DB07D57" w14:textId="4EBD7131" w:rsidR="007A1FB6" w:rsidRDefault="00DA412A" w:rsidP="00927E2E">
      <w:pPr>
        <w:pStyle w:val="Ttulo1"/>
      </w:pPr>
      <w:r>
        <w:t>Metodología</w:t>
      </w:r>
    </w:p>
    <w:p w14:paraId="18390F87" w14:textId="762E030D" w:rsidR="00D36403" w:rsidRDefault="001B7C06" w:rsidP="00927E2E">
      <w:r>
        <w:t>E</w:t>
      </w:r>
      <w:r w:rsidR="0069509C">
        <w:t>sta investigación plantea</w:t>
      </w:r>
      <w:r w:rsidR="00F275EC">
        <w:t>,</w:t>
      </w:r>
      <w:r w:rsidR="0069509C">
        <w:t xml:space="preserve"> a nivel exploratorio</w:t>
      </w:r>
      <w:r w:rsidR="00F275EC">
        <w:t>,</w:t>
      </w:r>
      <w:r w:rsidR="0069509C">
        <w:t xml:space="preserve"> </w:t>
      </w:r>
      <w:r w:rsidR="00F00C74">
        <w:t xml:space="preserve">la posibilidad de aprovechamiento del potencial energético de los RSU de la región por medio de un proceso de incineración </w:t>
      </w:r>
      <w:r w:rsidR="0020381E">
        <w:t>con un ciclo termodinámico de recalentamiento para la cogeneración de electricidad y calor</w:t>
      </w:r>
      <w:r w:rsidR="000F4DFA">
        <w:t xml:space="preserve">. No se tienen en cuenta detalles </w:t>
      </w:r>
      <w:r w:rsidR="00F275EC">
        <w:t xml:space="preserve">particulares </w:t>
      </w:r>
      <w:r w:rsidR="00B83EF0">
        <w:t xml:space="preserve">de equipos </w:t>
      </w:r>
      <w:r w:rsidR="00F275EC">
        <w:t>y</w:t>
      </w:r>
      <w:r w:rsidR="00B83EF0">
        <w:t xml:space="preserve"> </w:t>
      </w:r>
      <w:r w:rsidR="00E93F5B">
        <w:t>maquinarias,</w:t>
      </w:r>
      <w:r w:rsidR="00B83EF0">
        <w:t xml:space="preserve"> </w:t>
      </w:r>
      <w:r w:rsidR="00F275EC">
        <w:t>así como</w:t>
      </w:r>
      <w:r w:rsidR="00B83EF0">
        <w:t xml:space="preserve"> </w:t>
      </w:r>
      <w:r w:rsidR="00E93F5B">
        <w:t>pérdidas de carga o de presión derivados de los procesos</w:t>
      </w:r>
      <w:r w:rsidR="00035211">
        <w:t>,</w:t>
      </w:r>
      <w:r w:rsidR="00D664F2">
        <w:t xml:space="preserve"> ni disposición y tratamientos de residuos </w:t>
      </w:r>
      <w:r w:rsidR="00035211">
        <w:t xml:space="preserve">generados </w:t>
      </w:r>
      <w:r w:rsidR="000C0C16">
        <w:t xml:space="preserve">en </w:t>
      </w:r>
      <w:r w:rsidR="00AA0A2E">
        <w:t>la limpieza de gases.</w:t>
      </w:r>
    </w:p>
    <w:p w14:paraId="39B28021" w14:textId="18CBD0FB" w:rsidR="00B67890" w:rsidRDefault="00514253" w:rsidP="00B67890">
      <w:pPr>
        <w:pStyle w:val="Ttulo2"/>
      </w:pPr>
      <w:r>
        <w:t>Composición</w:t>
      </w:r>
      <w:r w:rsidR="00975EA5">
        <w:t xml:space="preserve"> de los RSU de la región</w:t>
      </w:r>
    </w:p>
    <w:p w14:paraId="71D5081E" w14:textId="6F823394" w:rsidR="00D57C22" w:rsidRDefault="00923C26" w:rsidP="00D57C22">
      <w:r>
        <w:t>L</w:t>
      </w:r>
      <w:r w:rsidR="008F7385">
        <w:t xml:space="preserve">a </w:t>
      </w:r>
      <w:r w:rsidR="00EF1BF0">
        <w:fldChar w:fldCharType="begin"/>
      </w:r>
      <w:r w:rsidR="00EF1BF0">
        <w:instrText xml:space="preserve"> REF _Ref105322990 \h </w:instrText>
      </w:r>
      <w:r w:rsidR="00EF1BF0">
        <w:fldChar w:fldCharType="separate"/>
      </w:r>
      <w:r w:rsidR="00EF1BF0" w:rsidRPr="009C2728">
        <w:t xml:space="preserve">Tabla </w:t>
      </w:r>
      <w:r w:rsidR="00EF1BF0" w:rsidRPr="009C2728">
        <w:rPr>
          <w:noProof/>
        </w:rPr>
        <w:t>1</w:t>
      </w:r>
      <w:r w:rsidR="00EF1BF0">
        <w:fldChar w:fldCharType="end"/>
      </w:r>
      <w:r w:rsidR="00EF1BF0">
        <w:t xml:space="preserve"> </w:t>
      </w:r>
      <w:r w:rsidR="00B63FCA">
        <w:t>detalla</w:t>
      </w:r>
      <w:r w:rsidR="005D2385">
        <w:t xml:space="preserve"> la cantidad </w:t>
      </w:r>
      <w:r w:rsidR="007F628C">
        <w:t xml:space="preserve">y composición </w:t>
      </w:r>
      <w:r w:rsidR="005D2385">
        <w:t>de RSU domiciliarios del año 2017</w:t>
      </w:r>
      <w:r w:rsidR="00AD4E9B">
        <w:t xml:space="preserve"> para la región</w:t>
      </w:r>
      <w:r w:rsidR="00764215">
        <w:t>.</w:t>
      </w:r>
    </w:p>
    <w:p w14:paraId="28953237" w14:textId="50CA84F2" w:rsidR="00C50A43" w:rsidRPr="00DA255A" w:rsidRDefault="00C50A43" w:rsidP="0021446C">
      <w:pPr>
        <w:pStyle w:val="TablaTtulo"/>
        <w:spacing w:after="200"/>
        <w:rPr>
          <w:sz w:val="18"/>
          <w:szCs w:val="16"/>
        </w:rPr>
      </w:pPr>
      <w:bookmarkStart w:id="1" w:name="_Ref105322990"/>
      <w:r w:rsidRPr="00DA255A">
        <w:rPr>
          <w:sz w:val="18"/>
          <w:szCs w:val="16"/>
        </w:rPr>
        <w:t xml:space="preserve">Tabla </w:t>
      </w:r>
      <w:r w:rsidR="005C0089" w:rsidRPr="00DA255A">
        <w:rPr>
          <w:sz w:val="18"/>
          <w:szCs w:val="16"/>
        </w:rPr>
        <w:fldChar w:fldCharType="begin"/>
      </w:r>
      <w:r w:rsidR="005C0089" w:rsidRPr="00DA255A">
        <w:rPr>
          <w:sz w:val="18"/>
          <w:szCs w:val="16"/>
        </w:rPr>
        <w:instrText xml:space="preserve"> SEQ Tabla \* ARABIC </w:instrText>
      </w:r>
      <w:r w:rsidR="005C0089" w:rsidRPr="00DA255A">
        <w:rPr>
          <w:sz w:val="18"/>
          <w:szCs w:val="16"/>
        </w:rPr>
        <w:fldChar w:fldCharType="separate"/>
      </w:r>
      <w:r w:rsidR="009E6817" w:rsidRPr="00DA255A">
        <w:rPr>
          <w:sz w:val="18"/>
          <w:szCs w:val="16"/>
        </w:rPr>
        <w:t>1</w:t>
      </w:r>
      <w:r w:rsidR="005C0089" w:rsidRPr="00DA255A">
        <w:rPr>
          <w:sz w:val="18"/>
          <w:szCs w:val="16"/>
        </w:rPr>
        <w:fldChar w:fldCharType="end"/>
      </w:r>
      <w:bookmarkEnd w:id="1"/>
      <w:r w:rsidRPr="00DA255A">
        <w:rPr>
          <w:sz w:val="18"/>
          <w:szCs w:val="16"/>
        </w:rPr>
        <w:t xml:space="preserve">. </w:t>
      </w:r>
      <w:r w:rsidR="009A2D91" w:rsidRPr="00DA255A">
        <w:rPr>
          <w:sz w:val="18"/>
          <w:szCs w:val="16"/>
        </w:rPr>
        <w:t>C</w:t>
      </w:r>
      <w:r w:rsidR="004852D1" w:rsidRPr="00DA255A">
        <w:rPr>
          <w:sz w:val="18"/>
          <w:szCs w:val="16"/>
        </w:rPr>
        <w:t>antidad (toneladas) y proporción</w:t>
      </w:r>
      <w:r w:rsidRPr="00DA255A">
        <w:rPr>
          <w:sz w:val="18"/>
          <w:szCs w:val="16"/>
        </w:rPr>
        <w:t xml:space="preserve"> </w:t>
      </w:r>
      <w:r w:rsidR="004852D1" w:rsidRPr="00DA255A">
        <w:rPr>
          <w:sz w:val="18"/>
          <w:szCs w:val="16"/>
        </w:rPr>
        <w:t xml:space="preserve">(%) </w:t>
      </w:r>
      <w:r w:rsidRPr="00DA255A">
        <w:rPr>
          <w:sz w:val="18"/>
          <w:szCs w:val="16"/>
        </w:rPr>
        <w:t xml:space="preserve">de </w:t>
      </w:r>
      <w:r w:rsidR="001162E9">
        <w:rPr>
          <w:sz w:val="18"/>
          <w:szCs w:val="16"/>
        </w:rPr>
        <w:t>componentes</w:t>
      </w:r>
      <w:r w:rsidR="009A2D91" w:rsidRPr="00DA255A">
        <w:rPr>
          <w:sz w:val="18"/>
          <w:szCs w:val="16"/>
        </w:rPr>
        <w:t xml:space="preserve"> de </w:t>
      </w:r>
      <w:r w:rsidRPr="00DA255A">
        <w:rPr>
          <w:sz w:val="18"/>
          <w:szCs w:val="16"/>
        </w:rPr>
        <w:t>RSU</w:t>
      </w:r>
      <w:r w:rsidR="00AD40D6" w:rsidRPr="00DA255A">
        <w:rPr>
          <w:sz w:val="18"/>
          <w:szCs w:val="16"/>
        </w:rPr>
        <w:t xml:space="preserve"> </w:t>
      </w:r>
      <w:r w:rsidR="0021446C">
        <w:rPr>
          <w:sz w:val="18"/>
          <w:szCs w:val="16"/>
        </w:rPr>
        <w:t xml:space="preserve">en la </w:t>
      </w:r>
      <w:r w:rsidR="00AD40D6" w:rsidRPr="00DA255A">
        <w:rPr>
          <w:sz w:val="18"/>
          <w:szCs w:val="16"/>
        </w:rPr>
        <w:t>región de Los Ríos.</w:t>
      </w:r>
    </w:p>
    <w:tbl>
      <w:tblPr>
        <w:tblStyle w:val="Tablaconcuadrcula"/>
        <w:tblW w:w="4390" w:type="dxa"/>
        <w:tblLook w:val="04A0" w:firstRow="1" w:lastRow="0" w:firstColumn="1" w:lastColumn="0" w:noHBand="0" w:noVBand="1"/>
      </w:tblPr>
      <w:tblGrid>
        <w:gridCol w:w="1555"/>
        <w:gridCol w:w="1418"/>
        <w:gridCol w:w="1417"/>
      </w:tblGrid>
      <w:tr w:rsidR="0016248C" w14:paraId="0FC1D537" w14:textId="4CD9F44F" w:rsidTr="00F15861">
        <w:tc>
          <w:tcPr>
            <w:tcW w:w="1555" w:type="dxa"/>
            <w:tcBorders>
              <w:left w:val="single" w:sz="4" w:space="0" w:color="auto"/>
              <w:right w:val="single" w:sz="4" w:space="0" w:color="auto"/>
            </w:tcBorders>
            <w:shd w:val="clear" w:color="auto" w:fill="D9D9D9" w:themeFill="background1" w:themeFillShade="D9"/>
          </w:tcPr>
          <w:p w14:paraId="7EF6A22F" w14:textId="5E5DA521" w:rsidR="0016248C" w:rsidRDefault="0016248C">
            <w:pPr>
              <w:rPr>
                <w:noProof/>
                <w:lang w:eastAsia="es-CO"/>
              </w:rPr>
            </w:pPr>
            <w:r>
              <w:rPr>
                <w:noProof/>
                <w:lang w:eastAsia="es-CO"/>
              </w:rPr>
              <w:t>Tipo de residuo</w:t>
            </w:r>
          </w:p>
        </w:tc>
        <w:tc>
          <w:tcPr>
            <w:tcW w:w="1418" w:type="dxa"/>
            <w:tcBorders>
              <w:left w:val="single" w:sz="4" w:space="0" w:color="auto"/>
              <w:right w:val="single" w:sz="4" w:space="0" w:color="auto"/>
            </w:tcBorders>
            <w:shd w:val="clear" w:color="auto" w:fill="D9D9D9" w:themeFill="background1" w:themeFillShade="D9"/>
          </w:tcPr>
          <w:p w14:paraId="56B8EF51" w14:textId="42BF866B" w:rsidR="0016248C" w:rsidRDefault="0016248C">
            <w:pPr>
              <w:rPr>
                <w:noProof/>
                <w:lang w:eastAsia="es-CO"/>
              </w:rPr>
            </w:pPr>
            <w:r>
              <w:rPr>
                <w:noProof/>
                <w:lang w:eastAsia="es-CO"/>
              </w:rPr>
              <w:t>Cantidad</w:t>
            </w:r>
            <w:r w:rsidR="00EA75E2">
              <w:rPr>
                <w:noProof/>
                <w:lang w:eastAsia="es-CO"/>
              </w:rPr>
              <w:t xml:space="preserve"> (m</w:t>
            </w:r>
            <w:r w:rsidR="00EA75E2" w:rsidRPr="00C72E32">
              <w:rPr>
                <w:noProof/>
                <w:vertAlign w:val="subscript"/>
                <w:lang w:eastAsia="es-CO"/>
              </w:rPr>
              <w:t>i</w:t>
            </w:r>
            <w:r w:rsidR="00EA75E2">
              <w:rPr>
                <w:noProof/>
                <w:lang w:eastAsia="es-CO"/>
              </w:rPr>
              <w:t>)</w:t>
            </w:r>
          </w:p>
        </w:tc>
        <w:tc>
          <w:tcPr>
            <w:tcW w:w="1417" w:type="dxa"/>
            <w:tcBorders>
              <w:left w:val="single" w:sz="4" w:space="0" w:color="auto"/>
              <w:right w:val="single" w:sz="4" w:space="0" w:color="auto"/>
            </w:tcBorders>
            <w:shd w:val="clear" w:color="auto" w:fill="D9D9D9" w:themeFill="background1" w:themeFillShade="D9"/>
          </w:tcPr>
          <w:p w14:paraId="607E5A75" w14:textId="78907CB8" w:rsidR="0016248C" w:rsidRDefault="0016248C">
            <w:pPr>
              <w:rPr>
                <w:noProof/>
                <w:lang w:eastAsia="es-CO"/>
              </w:rPr>
            </w:pPr>
            <w:r>
              <w:rPr>
                <w:noProof/>
                <w:lang w:eastAsia="es-CO"/>
              </w:rPr>
              <w:t xml:space="preserve">Proporción </w:t>
            </w:r>
            <w:r w:rsidR="00EA75E2">
              <w:rPr>
                <w:noProof/>
                <w:lang w:eastAsia="es-CO"/>
              </w:rPr>
              <w:t>(p</w:t>
            </w:r>
            <w:r w:rsidR="00EA75E2" w:rsidRPr="00C72E32">
              <w:rPr>
                <w:noProof/>
                <w:vertAlign w:val="subscript"/>
                <w:lang w:eastAsia="es-CO"/>
              </w:rPr>
              <w:t>i</w:t>
            </w:r>
            <w:r w:rsidR="00EA75E2">
              <w:rPr>
                <w:noProof/>
                <w:lang w:eastAsia="es-CO"/>
              </w:rPr>
              <w:t>)</w:t>
            </w:r>
          </w:p>
        </w:tc>
      </w:tr>
      <w:tr w:rsidR="0016248C" w14:paraId="41641A50" w14:textId="14FB7251" w:rsidTr="00C72E32">
        <w:tc>
          <w:tcPr>
            <w:tcW w:w="1555" w:type="dxa"/>
            <w:tcBorders>
              <w:left w:val="single" w:sz="4" w:space="0" w:color="auto"/>
              <w:right w:val="single" w:sz="4" w:space="0" w:color="auto"/>
            </w:tcBorders>
          </w:tcPr>
          <w:p w14:paraId="1A1D49D8" w14:textId="56849630" w:rsidR="0016248C" w:rsidRDefault="0016248C">
            <w:pPr>
              <w:rPr>
                <w:noProof/>
                <w:lang w:eastAsia="es-CO"/>
              </w:rPr>
            </w:pPr>
            <w:r>
              <w:rPr>
                <w:noProof/>
                <w:lang w:eastAsia="es-CO"/>
              </w:rPr>
              <w:t>Mat</w:t>
            </w:r>
            <w:r w:rsidR="00C72E32">
              <w:rPr>
                <w:noProof/>
                <w:lang w:eastAsia="es-CO"/>
              </w:rPr>
              <w:t>.</w:t>
            </w:r>
            <w:r>
              <w:rPr>
                <w:noProof/>
                <w:lang w:eastAsia="es-CO"/>
              </w:rPr>
              <w:t xml:space="preserve"> orgánica </w:t>
            </w:r>
          </w:p>
        </w:tc>
        <w:tc>
          <w:tcPr>
            <w:tcW w:w="1418" w:type="dxa"/>
            <w:tcBorders>
              <w:left w:val="single" w:sz="4" w:space="0" w:color="auto"/>
              <w:right w:val="single" w:sz="4" w:space="0" w:color="auto"/>
            </w:tcBorders>
          </w:tcPr>
          <w:p w14:paraId="70A6930C" w14:textId="67DECD5F" w:rsidR="0016248C" w:rsidRDefault="0016248C" w:rsidP="007B3F94">
            <w:pPr>
              <w:jc w:val="center"/>
              <w:rPr>
                <w:noProof/>
                <w:lang w:eastAsia="es-CO"/>
              </w:rPr>
            </w:pPr>
            <w:r>
              <w:rPr>
                <w:noProof/>
                <w:lang w:eastAsia="es-CO"/>
              </w:rPr>
              <w:t>86.468,20</w:t>
            </w:r>
          </w:p>
        </w:tc>
        <w:tc>
          <w:tcPr>
            <w:tcW w:w="1417" w:type="dxa"/>
            <w:tcBorders>
              <w:left w:val="single" w:sz="4" w:space="0" w:color="auto"/>
              <w:right w:val="single" w:sz="4" w:space="0" w:color="auto"/>
            </w:tcBorders>
          </w:tcPr>
          <w:p w14:paraId="0D5D4F84" w14:textId="2CBD1C10" w:rsidR="0016248C" w:rsidRDefault="00B702A5" w:rsidP="007B3F94">
            <w:pPr>
              <w:jc w:val="center"/>
              <w:rPr>
                <w:noProof/>
                <w:lang w:eastAsia="es-CO"/>
              </w:rPr>
            </w:pPr>
            <w:r>
              <w:rPr>
                <w:noProof/>
                <w:lang w:eastAsia="es-CO"/>
              </w:rPr>
              <w:t>49,85</w:t>
            </w:r>
          </w:p>
        </w:tc>
      </w:tr>
      <w:tr w:rsidR="0016248C" w14:paraId="523A22B7" w14:textId="493A0FA7" w:rsidTr="00C72E32">
        <w:tc>
          <w:tcPr>
            <w:tcW w:w="1555" w:type="dxa"/>
            <w:tcBorders>
              <w:left w:val="single" w:sz="4" w:space="0" w:color="auto"/>
              <w:right w:val="single" w:sz="4" w:space="0" w:color="auto"/>
            </w:tcBorders>
          </w:tcPr>
          <w:p w14:paraId="7FED7D56" w14:textId="23F1C7C4" w:rsidR="0016248C" w:rsidRDefault="0016248C">
            <w:pPr>
              <w:rPr>
                <w:noProof/>
                <w:lang w:eastAsia="es-CO"/>
              </w:rPr>
            </w:pPr>
            <w:r>
              <w:rPr>
                <w:noProof/>
                <w:lang w:eastAsia="es-CO"/>
              </w:rPr>
              <w:t>Papel y cartón</w:t>
            </w:r>
          </w:p>
        </w:tc>
        <w:tc>
          <w:tcPr>
            <w:tcW w:w="1418" w:type="dxa"/>
            <w:tcBorders>
              <w:left w:val="single" w:sz="4" w:space="0" w:color="auto"/>
              <w:right w:val="single" w:sz="4" w:space="0" w:color="auto"/>
            </w:tcBorders>
          </w:tcPr>
          <w:p w14:paraId="54EE3A29" w14:textId="78065CA3" w:rsidR="0016248C" w:rsidRDefault="0016248C" w:rsidP="007B3F94">
            <w:pPr>
              <w:jc w:val="center"/>
              <w:rPr>
                <w:noProof/>
                <w:lang w:eastAsia="es-CO"/>
              </w:rPr>
            </w:pPr>
            <w:r>
              <w:rPr>
                <w:noProof/>
                <w:lang w:eastAsia="es-CO"/>
              </w:rPr>
              <w:t>16.733,67</w:t>
            </w:r>
          </w:p>
        </w:tc>
        <w:tc>
          <w:tcPr>
            <w:tcW w:w="1417" w:type="dxa"/>
            <w:tcBorders>
              <w:left w:val="single" w:sz="4" w:space="0" w:color="auto"/>
              <w:right w:val="single" w:sz="4" w:space="0" w:color="auto"/>
            </w:tcBorders>
          </w:tcPr>
          <w:p w14:paraId="5377493E" w14:textId="4344382F" w:rsidR="0016248C" w:rsidRDefault="00B702A5" w:rsidP="007B3F94">
            <w:pPr>
              <w:jc w:val="center"/>
              <w:rPr>
                <w:noProof/>
                <w:lang w:eastAsia="es-CO"/>
              </w:rPr>
            </w:pPr>
            <w:r>
              <w:rPr>
                <w:noProof/>
                <w:lang w:eastAsia="es-CO"/>
              </w:rPr>
              <w:t>9,65</w:t>
            </w:r>
          </w:p>
        </w:tc>
      </w:tr>
      <w:tr w:rsidR="0016248C" w14:paraId="5C9D45E4" w14:textId="590E815C" w:rsidTr="00C72E32">
        <w:tc>
          <w:tcPr>
            <w:tcW w:w="1555" w:type="dxa"/>
            <w:tcBorders>
              <w:left w:val="single" w:sz="4" w:space="0" w:color="auto"/>
              <w:right w:val="single" w:sz="4" w:space="0" w:color="auto"/>
            </w:tcBorders>
          </w:tcPr>
          <w:p w14:paraId="042B61EF" w14:textId="6C54144F" w:rsidR="0016248C" w:rsidRDefault="0016248C">
            <w:pPr>
              <w:rPr>
                <w:noProof/>
                <w:lang w:eastAsia="es-CO"/>
              </w:rPr>
            </w:pPr>
            <w:r>
              <w:rPr>
                <w:noProof/>
                <w:lang w:eastAsia="es-CO"/>
              </w:rPr>
              <w:t>Plásticos</w:t>
            </w:r>
          </w:p>
        </w:tc>
        <w:tc>
          <w:tcPr>
            <w:tcW w:w="1418" w:type="dxa"/>
            <w:tcBorders>
              <w:left w:val="single" w:sz="4" w:space="0" w:color="auto"/>
              <w:right w:val="single" w:sz="4" w:space="0" w:color="auto"/>
            </w:tcBorders>
          </w:tcPr>
          <w:p w14:paraId="0F58CC2B" w14:textId="3AF6D992" w:rsidR="0016248C" w:rsidRDefault="0016248C" w:rsidP="007B3F94">
            <w:pPr>
              <w:jc w:val="center"/>
              <w:rPr>
                <w:noProof/>
                <w:lang w:eastAsia="es-CO"/>
              </w:rPr>
            </w:pPr>
            <w:r>
              <w:rPr>
                <w:noProof/>
                <w:lang w:eastAsia="es-CO"/>
              </w:rPr>
              <w:t>20.388,10</w:t>
            </w:r>
          </w:p>
        </w:tc>
        <w:tc>
          <w:tcPr>
            <w:tcW w:w="1417" w:type="dxa"/>
            <w:tcBorders>
              <w:left w:val="single" w:sz="4" w:space="0" w:color="auto"/>
              <w:right w:val="single" w:sz="4" w:space="0" w:color="auto"/>
            </w:tcBorders>
          </w:tcPr>
          <w:p w14:paraId="1C858848" w14:textId="1259D340" w:rsidR="0016248C" w:rsidRDefault="00DD00F1" w:rsidP="007B3F94">
            <w:pPr>
              <w:jc w:val="center"/>
              <w:rPr>
                <w:noProof/>
                <w:lang w:eastAsia="es-CO"/>
              </w:rPr>
            </w:pPr>
            <w:r>
              <w:rPr>
                <w:noProof/>
                <w:lang w:eastAsia="es-CO"/>
              </w:rPr>
              <w:t>11,7</w:t>
            </w:r>
            <w:r w:rsidR="00195B3A">
              <w:rPr>
                <w:noProof/>
                <w:lang w:eastAsia="es-CO"/>
              </w:rPr>
              <w:t>6</w:t>
            </w:r>
          </w:p>
        </w:tc>
      </w:tr>
      <w:tr w:rsidR="0016248C" w14:paraId="1C5B4BF3" w14:textId="6D1B9A9A" w:rsidTr="00C72E32">
        <w:tc>
          <w:tcPr>
            <w:tcW w:w="1555" w:type="dxa"/>
            <w:tcBorders>
              <w:left w:val="single" w:sz="4" w:space="0" w:color="auto"/>
              <w:right w:val="single" w:sz="4" w:space="0" w:color="auto"/>
            </w:tcBorders>
          </w:tcPr>
          <w:p w14:paraId="04191711" w14:textId="635960BD" w:rsidR="0016248C" w:rsidRDefault="0016248C">
            <w:pPr>
              <w:rPr>
                <w:noProof/>
                <w:lang w:eastAsia="es-CO"/>
              </w:rPr>
            </w:pPr>
            <w:r>
              <w:rPr>
                <w:noProof/>
                <w:lang w:eastAsia="es-CO"/>
              </w:rPr>
              <w:t>Madera</w:t>
            </w:r>
          </w:p>
        </w:tc>
        <w:tc>
          <w:tcPr>
            <w:tcW w:w="1418" w:type="dxa"/>
            <w:tcBorders>
              <w:left w:val="single" w:sz="4" w:space="0" w:color="auto"/>
              <w:right w:val="single" w:sz="4" w:space="0" w:color="auto"/>
            </w:tcBorders>
          </w:tcPr>
          <w:p w14:paraId="5196AC42" w14:textId="029C7B77" w:rsidR="0016248C" w:rsidRDefault="0016248C" w:rsidP="007B3F94">
            <w:pPr>
              <w:jc w:val="center"/>
              <w:rPr>
                <w:noProof/>
                <w:lang w:eastAsia="es-CO"/>
              </w:rPr>
            </w:pPr>
            <w:r>
              <w:rPr>
                <w:noProof/>
                <w:lang w:eastAsia="es-CO"/>
              </w:rPr>
              <w:t>15.610,05</w:t>
            </w:r>
          </w:p>
        </w:tc>
        <w:tc>
          <w:tcPr>
            <w:tcW w:w="1417" w:type="dxa"/>
            <w:tcBorders>
              <w:left w:val="single" w:sz="4" w:space="0" w:color="auto"/>
              <w:right w:val="single" w:sz="4" w:space="0" w:color="auto"/>
            </w:tcBorders>
          </w:tcPr>
          <w:p w14:paraId="5706FEE1" w14:textId="7EB29BAD" w:rsidR="0016248C" w:rsidRDefault="00DD00F1" w:rsidP="007B3F94">
            <w:pPr>
              <w:jc w:val="center"/>
              <w:rPr>
                <w:noProof/>
                <w:lang w:eastAsia="es-CO"/>
              </w:rPr>
            </w:pPr>
            <w:r>
              <w:rPr>
                <w:noProof/>
                <w:lang w:eastAsia="es-CO"/>
              </w:rPr>
              <w:t>9,00</w:t>
            </w:r>
          </w:p>
        </w:tc>
      </w:tr>
      <w:tr w:rsidR="0016248C" w14:paraId="4070205B" w14:textId="7C127A74" w:rsidTr="00C72E32">
        <w:tc>
          <w:tcPr>
            <w:tcW w:w="1555" w:type="dxa"/>
            <w:tcBorders>
              <w:left w:val="single" w:sz="4" w:space="0" w:color="auto"/>
              <w:right w:val="single" w:sz="4" w:space="0" w:color="auto"/>
            </w:tcBorders>
          </w:tcPr>
          <w:p w14:paraId="0C51257A" w14:textId="7D8EABCE" w:rsidR="0016248C" w:rsidRDefault="0016248C">
            <w:pPr>
              <w:rPr>
                <w:noProof/>
                <w:lang w:eastAsia="es-CO"/>
              </w:rPr>
            </w:pPr>
            <w:r>
              <w:rPr>
                <w:noProof/>
                <w:lang w:eastAsia="es-CO"/>
              </w:rPr>
              <w:t>Vidrio</w:t>
            </w:r>
          </w:p>
        </w:tc>
        <w:tc>
          <w:tcPr>
            <w:tcW w:w="1418" w:type="dxa"/>
            <w:tcBorders>
              <w:left w:val="single" w:sz="4" w:space="0" w:color="auto"/>
              <w:right w:val="single" w:sz="4" w:space="0" w:color="auto"/>
            </w:tcBorders>
          </w:tcPr>
          <w:p w14:paraId="20177F02" w14:textId="3B80007F" w:rsidR="0016248C" w:rsidRDefault="0016248C" w:rsidP="007B3F94">
            <w:pPr>
              <w:jc w:val="center"/>
              <w:rPr>
                <w:noProof/>
                <w:lang w:eastAsia="es-CO"/>
              </w:rPr>
            </w:pPr>
            <w:r>
              <w:rPr>
                <w:noProof/>
                <w:lang w:eastAsia="es-CO"/>
              </w:rPr>
              <w:t>4.386,25</w:t>
            </w:r>
          </w:p>
        </w:tc>
        <w:tc>
          <w:tcPr>
            <w:tcW w:w="1417" w:type="dxa"/>
            <w:tcBorders>
              <w:left w:val="single" w:sz="4" w:space="0" w:color="auto"/>
              <w:right w:val="single" w:sz="4" w:space="0" w:color="auto"/>
            </w:tcBorders>
          </w:tcPr>
          <w:p w14:paraId="6BF0A355" w14:textId="01DEFCEB" w:rsidR="0016248C" w:rsidRDefault="00DD00F1" w:rsidP="007B3F94">
            <w:pPr>
              <w:jc w:val="center"/>
              <w:rPr>
                <w:noProof/>
                <w:lang w:eastAsia="es-CO"/>
              </w:rPr>
            </w:pPr>
            <w:r>
              <w:rPr>
                <w:noProof/>
                <w:lang w:eastAsia="es-CO"/>
              </w:rPr>
              <w:t>2,53</w:t>
            </w:r>
          </w:p>
        </w:tc>
      </w:tr>
      <w:tr w:rsidR="0016248C" w14:paraId="03820572" w14:textId="56A54329" w:rsidTr="00C72E32">
        <w:tc>
          <w:tcPr>
            <w:tcW w:w="1555" w:type="dxa"/>
            <w:tcBorders>
              <w:left w:val="single" w:sz="4" w:space="0" w:color="auto"/>
              <w:right w:val="single" w:sz="4" w:space="0" w:color="auto"/>
            </w:tcBorders>
          </w:tcPr>
          <w:p w14:paraId="095DF3D0" w14:textId="78D907F6" w:rsidR="0016248C" w:rsidRDefault="0016248C">
            <w:pPr>
              <w:rPr>
                <w:noProof/>
                <w:lang w:eastAsia="es-CO"/>
              </w:rPr>
            </w:pPr>
            <w:r>
              <w:rPr>
                <w:noProof/>
                <w:lang w:eastAsia="es-CO"/>
              </w:rPr>
              <w:t>Metales</w:t>
            </w:r>
          </w:p>
        </w:tc>
        <w:tc>
          <w:tcPr>
            <w:tcW w:w="1418" w:type="dxa"/>
            <w:tcBorders>
              <w:left w:val="single" w:sz="4" w:space="0" w:color="auto"/>
              <w:right w:val="single" w:sz="4" w:space="0" w:color="auto"/>
            </w:tcBorders>
          </w:tcPr>
          <w:p w14:paraId="745F3505" w14:textId="20EA1880" w:rsidR="0016248C" w:rsidRDefault="0016248C" w:rsidP="007B3F94">
            <w:pPr>
              <w:jc w:val="center"/>
              <w:rPr>
                <w:noProof/>
                <w:lang w:eastAsia="es-CO"/>
              </w:rPr>
            </w:pPr>
            <w:r>
              <w:rPr>
                <w:noProof/>
                <w:lang w:eastAsia="es-CO"/>
              </w:rPr>
              <w:t>2.934,12</w:t>
            </w:r>
          </w:p>
        </w:tc>
        <w:tc>
          <w:tcPr>
            <w:tcW w:w="1417" w:type="dxa"/>
            <w:tcBorders>
              <w:left w:val="single" w:sz="4" w:space="0" w:color="auto"/>
              <w:right w:val="single" w:sz="4" w:space="0" w:color="auto"/>
            </w:tcBorders>
          </w:tcPr>
          <w:p w14:paraId="1D0E63AC" w14:textId="7F0CB0FD" w:rsidR="0016248C" w:rsidRDefault="00DD00F1" w:rsidP="007B3F94">
            <w:pPr>
              <w:jc w:val="center"/>
              <w:rPr>
                <w:noProof/>
                <w:lang w:eastAsia="es-CO"/>
              </w:rPr>
            </w:pPr>
            <w:r>
              <w:rPr>
                <w:noProof/>
                <w:lang w:eastAsia="es-CO"/>
              </w:rPr>
              <w:t>1,69</w:t>
            </w:r>
          </w:p>
        </w:tc>
      </w:tr>
      <w:tr w:rsidR="0016248C" w14:paraId="16CBBC19" w14:textId="79D60DFC" w:rsidTr="00C72E32">
        <w:tc>
          <w:tcPr>
            <w:tcW w:w="1555" w:type="dxa"/>
            <w:tcBorders>
              <w:left w:val="single" w:sz="4" w:space="0" w:color="auto"/>
              <w:right w:val="single" w:sz="4" w:space="0" w:color="auto"/>
            </w:tcBorders>
          </w:tcPr>
          <w:p w14:paraId="59365160" w14:textId="416AAA9A" w:rsidR="0016248C" w:rsidRDefault="0016248C">
            <w:pPr>
              <w:rPr>
                <w:noProof/>
                <w:lang w:eastAsia="es-CO"/>
              </w:rPr>
            </w:pPr>
            <w:r>
              <w:rPr>
                <w:noProof/>
                <w:lang w:eastAsia="es-CO"/>
              </w:rPr>
              <w:t>Residuos inertes</w:t>
            </w:r>
          </w:p>
        </w:tc>
        <w:tc>
          <w:tcPr>
            <w:tcW w:w="1418" w:type="dxa"/>
            <w:tcBorders>
              <w:left w:val="single" w:sz="4" w:space="0" w:color="auto"/>
              <w:right w:val="single" w:sz="4" w:space="0" w:color="auto"/>
            </w:tcBorders>
          </w:tcPr>
          <w:p w14:paraId="13DCC058" w14:textId="4FBAA9DC" w:rsidR="0016248C" w:rsidRDefault="0016248C" w:rsidP="007B3F94">
            <w:pPr>
              <w:jc w:val="center"/>
              <w:rPr>
                <w:noProof/>
                <w:lang w:eastAsia="es-CO"/>
              </w:rPr>
            </w:pPr>
            <w:r>
              <w:rPr>
                <w:noProof/>
                <w:lang w:eastAsia="es-CO"/>
              </w:rPr>
              <w:t>-</w:t>
            </w:r>
          </w:p>
        </w:tc>
        <w:tc>
          <w:tcPr>
            <w:tcW w:w="1417" w:type="dxa"/>
            <w:tcBorders>
              <w:left w:val="single" w:sz="4" w:space="0" w:color="auto"/>
              <w:right w:val="single" w:sz="4" w:space="0" w:color="auto"/>
            </w:tcBorders>
          </w:tcPr>
          <w:p w14:paraId="23E36BF8" w14:textId="2C5DBD02" w:rsidR="0016248C" w:rsidRDefault="00800BCB" w:rsidP="007B3F94">
            <w:pPr>
              <w:jc w:val="center"/>
              <w:rPr>
                <w:noProof/>
                <w:lang w:eastAsia="es-CO"/>
              </w:rPr>
            </w:pPr>
            <w:r>
              <w:rPr>
                <w:noProof/>
                <w:lang w:eastAsia="es-CO"/>
              </w:rPr>
              <w:t>-</w:t>
            </w:r>
          </w:p>
        </w:tc>
      </w:tr>
      <w:tr w:rsidR="0016248C" w14:paraId="13596745" w14:textId="20D4E7D3" w:rsidTr="00C72E32">
        <w:tc>
          <w:tcPr>
            <w:tcW w:w="1555" w:type="dxa"/>
            <w:tcBorders>
              <w:left w:val="single" w:sz="4" w:space="0" w:color="auto"/>
              <w:right w:val="single" w:sz="4" w:space="0" w:color="auto"/>
            </w:tcBorders>
          </w:tcPr>
          <w:p w14:paraId="16390384" w14:textId="7B3913A3" w:rsidR="0016248C" w:rsidRDefault="0016248C">
            <w:pPr>
              <w:rPr>
                <w:noProof/>
                <w:lang w:eastAsia="es-CO"/>
              </w:rPr>
            </w:pPr>
            <w:r>
              <w:rPr>
                <w:noProof/>
                <w:lang w:eastAsia="es-CO"/>
              </w:rPr>
              <w:t>Cuero y textiles</w:t>
            </w:r>
          </w:p>
        </w:tc>
        <w:tc>
          <w:tcPr>
            <w:tcW w:w="1418" w:type="dxa"/>
            <w:tcBorders>
              <w:left w:val="single" w:sz="4" w:space="0" w:color="auto"/>
              <w:right w:val="single" w:sz="4" w:space="0" w:color="auto"/>
            </w:tcBorders>
          </w:tcPr>
          <w:p w14:paraId="2448AE74" w14:textId="5BB5AB92" w:rsidR="0016248C" w:rsidRDefault="0016248C" w:rsidP="007B3F94">
            <w:pPr>
              <w:jc w:val="center"/>
              <w:rPr>
                <w:noProof/>
                <w:lang w:eastAsia="es-CO"/>
              </w:rPr>
            </w:pPr>
            <w:r>
              <w:rPr>
                <w:noProof/>
                <w:lang w:eastAsia="es-CO"/>
              </w:rPr>
              <w:t>8.672,25</w:t>
            </w:r>
          </w:p>
        </w:tc>
        <w:tc>
          <w:tcPr>
            <w:tcW w:w="1417" w:type="dxa"/>
            <w:tcBorders>
              <w:left w:val="single" w:sz="4" w:space="0" w:color="auto"/>
              <w:right w:val="single" w:sz="4" w:space="0" w:color="auto"/>
            </w:tcBorders>
          </w:tcPr>
          <w:p w14:paraId="22CE44FF" w14:textId="6DE3ACF8" w:rsidR="0016248C" w:rsidRDefault="00800BCB" w:rsidP="007B3F94">
            <w:pPr>
              <w:jc w:val="center"/>
              <w:rPr>
                <w:noProof/>
                <w:lang w:eastAsia="es-CO"/>
              </w:rPr>
            </w:pPr>
            <w:r>
              <w:rPr>
                <w:noProof/>
                <w:lang w:eastAsia="es-CO"/>
              </w:rPr>
              <w:t>5,00</w:t>
            </w:r>
          </w:p>
        </w:tc>
      </w:tr>
      <w:tr w:rsidR="0016248C" w14:paraId="71280105" w14:textId="6C761A88" w:rsidTr="00C72E32">
        <w:tc>
          <w:tcPr>
            <w:tcW w:w="1555" w:type="dxa"/>
            <w:tcBorders>
              <w:left w:val="single" w:sz="4" w:space="0" w:color="auto"/>
              <w:right w:val="single" w:sz="4" w:space="0" w:color="auto"/>
            </w:tcBorders>
          </w:tcPr>
          <w:p w14:paraId="788CD6A9" w14:textId="3E8080BB" w:rsidR="0016248C" w:rsidRDefault="0016248C">
            <w:pPr>
              <w:rPr>
                <w:noProof/>
                <w:lang w:eastAsia="es-CO"/>
              </w:rPr>
            </w:pPr>
            <w:r>
              <w:rPr>
                <w:noProof/>
                <w:lang w:eastAsia="es-CO"/>
              </w:rPr>
              <w:t>Otros</w:t>
            </w:r>
          </w:p>
        </w:tc>
        <w:tc>
          <w:tcPr>
            <w:tcW w:w="1418" w:type="dxa"/>
            <w:tcBorders>
              <w:left w:val="single" w:sz="4" w:space="0" w:color="auto"/>
              <w:right w:val="single" w:sz="4" w:space="0" w:color="auto"/>
            </w:tcBorders>
          </w:tcPr>
          <w:p w14:paraId="4E14059C" w14:textId="1FE0A6BF" w:rsidR="0016248C" w:rsidRDefault="0016248C" w:rsidP="007B3F94">
            <w:pPr>
              <w:jc w:val="center"/>
              <w:rPr>
                <w:noProof/>
                <w:lang w:eastAsia="es-CO"/>
              </w:rPr>
            </w:pPr>
            <w:r>
              <w:rPr>
                <w:noProof/>
                <w:lang w:eastAsia="es-CO"/>
              </w:rPr>
              <w:t>18.252,35</w:t>
            </w:r>
          </w:p>
        </w:tc>
        <w:tc>
          <w:tcPr>
            <w:tcW w:w="1417" w:type="dxa"/>
            <w:tcBorders>
              <w:left w:val="single" w:sz="4" w:space="0" w:color="auto"/>
              <w:right w:val="single" w:sz="4" w:space="0" w:color="auto"/>
            </w:tcBorders>
          </w:tcPr>
          <w:p w14:paraId="09E4D363" w14:textId="56982243" w:rsidR="0016248C" w:rsidRDefault="00800BCB" w:rsidP="007B3F94">
            <w:pPr>
              <w:jc w:val="center"/>
              <w:rPr>
                <w:noProof/>
                <w:lang w:eastAsia="es-CO"/>
              </w:rPr>
            </w:pPr>
            <w:r>
              <w:rPr>
                <w:noProof/>
                <w:lang w:eastAsia="es-CO"/>
              </w:rPr>
              <w:t>10,52</w:t>
            </w:r>
          </w:p>
        </w:tc>
      </w:tr>
      <w:tr w:rsidR="0016248C" w14:paraId="6E25E493" w14:textId="7CA64D09" w:rsidTr="00C72E32">
        <w:tc>
          <w:tcPr>
            <w:tcW w:w="1555" w:type="dxa"/>
            <w:tcBorders>
              <w:left w:val="single" w:sz="4" w:space="0" w:color="auto"/>
              <w:right w:val="single" w:sz="4" w:space="0" w:color="auto"/>
            </w:tcBorders>
          </w:tcPr>
          <w:p w14:paraId="046A7B4F" w14:textId="2395EDF7" w:rsidR="0016248C" w:rsidRPr="000B4EFF" w:rsidRDefault="0016248C">
            <w:pPr>
              <w:rPr>
                <w:b/>
                <w:bCs/>
                <w:noProof/>
                <w:lang w:eastAsia="es-CO"/>
              </w:rPr>
            </w:pPr>
            <w:r w:rsidRPr="000B4EFF">
              <w:rPr>
                <w:b/>
                <w:bCs/>
                <w:noProof/>
                <w:lang w:eastAsia="es-CO"/>
              </w:rPr>
              <w:t>Total</w:t>
            </w:r>
          </w:p>
        </w:tc>
        <w:tc>
          <w:tcPr>
            <w:tcW w:w="1418" w:type="dxa"/>
            <w:tcBorders>
              <w:left w:val="single" w:sz="4" w:space="0" w:color="auto"/>
              <w:right w:val="single" w:sz="4" w:space="0" w:color="auto"/>
            </w:tcBorders>
          </w:tcPr>
          <w:p w14:paraId="040926E5" w14:textId="1C23EB8E" w:rsidR="0016248C" w:rsidRPr="000B4EFF" w:rsidRDefault="0016248C" w:rsidP="007B3F94">
            <w:pPr>
              <w:jc w:val="center"/>
              <w:rPr>
                <w:b/>
                <w:bCs/>
                <w:noProof/>
                <w:lang w:eastAsia="es-CO"/>
              </w:rPr>
            </w:pPr>
            <w:r w:rsidRPr="000B4EFF">
              <w:rPr>
                <w:b/>
                <w:bCs/>
                <w:noProof/>
                <w:lang w:eastAsia="es-CO"/>
              </w:rPr>
              <w:t>173.445,00</w:t>
            </w:r>
          </w:p>
        </w:tc>
        <w:tc>
          <w:tcPr>
            <w:tcW w:w="1417" w:type="dxa"/>
            <w:tcBorders>
              <w:left w:val="single" w:sz="4" w:space="0" w:color="auto"/>
              <w:right w:val="single" w:sz="4" w:space="0" w:color="auto"/>
            </w:tcBorders>
          </w:tcPr>
          <w:p w14:paraId="12E64EF4" w14:textId="26978615" w:rsidR="0016248C" w:rsidRPr="000B4EFF" w:rsidRDefault="00FE34C5" w:rsidP="007B3F94">
            <w:pPr>
              <w:jc w:val="center"/>
              <w:rPr>
                <w:b/>
                <w:bCs/>
                <w:noProof/>
                <w:lang w:eastAsia="es-CO"/>
              </w:rPr>
            </w:pPr>
            <w:r>
              <w:rPr>
                <w:b/>
                <w:bCs/>
                <w:noProof/>
                <w:lang w:eastAsia="es-CO"/>
              </w:rPr>
              <w:t>100,00</w:t>
            </w:r>
          </w:p>
        </w:tc>
      </w:tr>
    </w:tbl>
    <w:p w14:paraId="71A210D3" w14:textId="1C0C0910" w:rsidR="000D3915" w:rsidRPr="0028362B" w:rsidRDefault="00E267B7" w:rsidP="0028362B">
      <w:pPr>
        <w:pStyle w:val="Descripcin"/>
        <w:rPr>
          <w:sz w:val="18"/>
          <w:szCs w:val="16"/>
        </w:rPr>
      </w:pPr>
      <w:r w:rsidRPr="0028362B">
        <w:rPr>
          <w:sz w:val="18"/>
          <w:szCs w:val="16"/>
        </w:rPr>
        <w:t xml:space="preserve">Fuente: </w:t>
      </w:r>
      <w:r w:rsidR="00AE4218" w:rsidRPr="0028362B">
        <w:rPr>
          <w:sz w:val="18"/>
          <w:szCs w:val="16"/>
        </w:rPr>
        <w:t xml:space="preserve">Subsecretaría </w:t>
      </w:r>
      <w:r w:rsidR="00E01C37" w:rsidRPr="0028362B">
        <w:rPr>
          <w:sz w:val="18"/>
          <w:szCs w:val="16"/>
        </w:rPr>
        <w:t>de Desarrollo Regional y Administrativo</w:t>
      </w:r>
      <w:r w:rsidR="004762D0">
        <w:rPr>
          <w:sz w:val="18"/>
          <w:szCs w:val="16"/>
        </w:rPr>
        <w:t xml:space="preserve"> [1</w:t>
      </w:r>
      <w:r w:rsidR="006A774B">
        <w:rPr>
          <w:sz w:val="18"/>
          <w:szCs w:val="16"/>
        </w:rPr>
        <w:t>6].</w:t>
      </w:r>
    </w:p>
    <w:p w14:paraId="2BDD8DC1" w14:textId="723D7374" w:rsidR="008A0894" w:rsidRDefault="008A0894" w:rsidP="006A625A">
      <w:r>
        <w:t>Casi la mitad de los RSU recolectados corresponden a materia orgánica</w:t>
      </w:r>
      <w:r w:rsidR="009A1018">
        <w:t>, seguido de plásticos</w:t>
      </w:r>
      <w:r w:rsidR="00A53054">
        <w:t xml:space="preserve">, ver </w:t>
      </w:r>
      <w:r w:rsidR="00A53054">
        <w:fldChar w:fldCharType="begin"/>
      </w:r>
      <w:r w:rsidR="00A53054">
        <w:instrText xml:space="preserve"> REF _Ref109630229 \h </w:instrText>
      </w:r>
      <w:r w:rsidR="006A625A">
        <w:instrText xml:space="preserve"> \* MERGEFORMAT </w:instrText>
      </w:r>
      <w:r w:rsidR="00A53054">
        <w:fldChar w:fldCharType="separate"/>
      </w:r>
      <w:r w:rsidR="00A53054">
        <w:t xml:space="preserve">Figura </w:t>
      </w:r>
      <w:r w:rsidR="00A53054">
        <w:rPr>
          <w:noProof/>
        </w:rPr>
        <w:t>1</w:t>
      </w:r>
      <w:r w:rsidR="00A53054">
        <w:fldChar w:fldCharType="end"/>
      </w:r>
      <w:r w:rsidR="00A53054">
        <w:t>.</w:t>
      </w:r>
    </w:p>
    <w:p w14:paraId="40315DBB" w14:textId="1577BA4A" w:rsidR="00E80CE1" w:rsidRDefault="005179F6" w:rsidP="00E80CE1">
      <w:pPr>
        <w:jc w:val="center"/>
      </w:pPr>
      <w:r>
        <w:rPr>
          <w:noProof/>
        </w:rPr>
        <w:drawing>
          <wp:inline distT="0" distB="0" distL="0" distR="0" wp14:anchorId="5353AE48" wp14:editId="1199E36C">
            <wp:extent cx="2704004" cy="1873545"/>
            <wp:effectExtent l="19050" t="19050" r="20320" b="1270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39" t="2645" r="12607" b="1506"/>
                    <a:stretch/>
                  </pic:blipFill>
                  <pic:spPr bwMode="auto">
                    <a:xfrm>
                      <a:off x="0" y="0"/>
                      <a:ext cx="2735651" cy="1895472"/>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44DC0D5C" w14:textId="30A455DA" w:rsidR="00E80CE1" w:rsidRPr="009C6FA4" w:rsidRDefault="00723C9B" w:rsidP="0034634B">
      <w:pPr>
        <w:pStyle w:val="Fuentefigurasytablas"/>
      </w:pPr>
      <w:bookmarkStart w:id="2" w:name="_Ref109630229"/>
      <w:r w:rsidRPr="009C6FA4">
        <w:rPr>
          <w:b/>
          <w:bCs/>
        </w:rPr>
        <w:t xml:space="preserve">Figura </w:t>
      </w:r>
      <w:r w:rsidR="00030A29" w:rsidRPr="009C6FA4">
        <w:rPr>
          <w:b/>
          <w:bCs/>
        </w:rPr>
        <w:fldChar w:fldCharType="begin"/>
      </w:r>
      <w:r w:rsidR="00030A29" w:rsidRPr="009C6FA4">
        <w:rPr>
          <w:b/>
          <w:bCs/>
        </w:rPr>
        <w:instrText xml:space="preserve"> SEQ Figura \* ARABIC </w:instrText>
      </w:r>
      <w:r w:rsidR="00030A29" w:rsidRPr="009C6FA4">
        <w:rPr>
          <w:b/>
          <w:bCs/>
        </w:rPr>
        <w:fldChar w:fldCharType="separate"/>
      </w:r>
      <w:r w:rsidR="00A66FCC" w:rsidRPr="009C6FA4">
        <w:rPr>
          <w:b/>
          <w:bCs/>
          <w:noProof/>
        </w:rPr>
        <w:t>1</w:t>
      </w:r>
      <w:r w:rsidR="00030A29" w:rsidRPr="009C6FA4">
        <w:rPr>
          <w:b/>
          <w:bCs/>
          <w:noProof/>
        </w:rPr>
        <w:fldChar w:fldCharType="end"/>
      </w:r>
      <w:bookmarkEnd w:id="2"/>
      <w:r w:rsidRPr="009C6FA4">
        <w:rPr>
          <w:b/>
          <w:bCs/>
        </w:rPr>
        <w:t>.</w:t>
      </w:r>
      <w:r w:rsidRPr="009C6FA4">
        <w:t xml:space="preserve"> </w:t>
      </w:r>
      <w:r w:rsidR="009A23A9" w:rsidRPr="009C6FA4">
        <w:t>Composición</w:t>
      </w:r>
      <w:r w:rsidRPr="009C6FA4">
        <w:t xml:space="preserve"> y proporción (%) de los RSU de la región (2017). </w:t>
      </w:r>
      <w:r w:rsidR="003824B8" w:rsidRPr="009C6FA4">
        <w:t xml:space="preserve">Fuente: </w:t>
      </w:r>
      <w:r w:rsidR="00E01C37" w:rsidRPr="009C6FA4">
        <w:t>Subsecretaría de Desarrollo Regional y Administrativo</w:t>
      </w:r>
      <w:r w:rsidR="006A774B">
        <w:t xml:space="preserve"> [16].</w:t>
      </w:r>
    </w:p>
    <w:p w14:paraId="2CDBA082" w14:textId="210EFD0C" w:rsidR="00FB7110" w:rsidRDefault="00B80FF4" w:rsidP="00D57C22">
      <w:r>
        <w:t>En el caso de los plásticos, las cantidades registradas por tipo de plástico</w:t>
      </w:r>
      <w:r w:rsidR="009318C0">
        <w:t xml:space="preserve"> se resumen en la </w:t>
      </w:r>
      <w:r w:rsidR="009318C0">
        <w:fldChar w:fldCharType="begin"/>
      </w:r>
      <w:r w:rsidR="009318C0">
        <w:instrText xml:space="preserve"> REF _Ref105519018 \h </w:instrText>
      </w:r>
      <w:r w:rsidR="009318C0">
        <w:fldChar w:fldCharType="separate"/>
      </w:r>
      <w:r w:rsidR="009318C0" w:rsidRPr="009C2728">
        <w:t xml:space="preserve">Tabla </w:t>
      </w:r>
      <w:r w:rsidR="009318C0">
        <w:rPr>
          <w:noProof/>
        </w:rPr>
        <w:t>2</w:t>
      </w:r>
      <w:r w:rsidR="009318C0">
        <w:fldChar w:fldCharType="end"/>
      </w:r>
      <w:r w:rsidR="001D1D38">
        <w:t>.</w:t>
      </w:r>
      <w:r w:rsidR="009318C0">
        <w:t xml:space="preserve"> </w:t>
      </w:r>
    </w:p>
    <w:p w14:paraId="3F55E9C8" w14:textId="6859CA64" w:rsidR="009318C0" w:rsidRPr="00DA255A" w:rsidRDefault="009318C0" w:rsidP="007C7FB4">
      <w:pPr>
        <w:pStyle w:val="TablaTtulo"/>
        <w:spacing w:after="200"/>
        <w:rPr>
          <w:sz w:val="18"/>
          <w:szCs w:val="16"/>
        </w:rPr>
      </w:pPr>
      <w:bookmarkStart w:id="3" w:name="_Ref105519018"/>
      <w:r w:rsidRPr="00DA255A">
        <w:rPr>
          <w:sz w:val="18"/>
          <w:szCs w:val="16"/>
        </w:rPr>
        <w:t xml:space="preserve">Tabla </w:t>
      </w:r>
      <w:r w:rsidR="005C0089" w:rsidRPr="00DA255A">
        <w:rPr>
          <w:sz w:val="18"/>
          <w:szCs w:val="16"/>
        </w:rPr>
        <w:fldChar w:fldCharType="begin"/>
      </w:r>
      <w:r w:rsidR="005C0089" w:rsidRPr="00DA255A">
        <w:rPr>
          <w:sz w:val="18"/>
          <w:szCs w:val="16"/>
        </w:rPr>
        <w:instrText xml:space="preserve"> SEQ Tabla \* ARABIC </w:instrText>
      </w:r>
      <w:r w:rsidR="005C0089" w:rsidRPr="00DA255A">
        <w:rPr>
          <w:sz w:val="18"/>
          <w:szCs w:val="16"/>
        </w:rPr>
        <w:fldChar w:fldCharType="separate"/>
      </w:r>
      <w:r w:rsidR="009E6817" w:rsidRPr="00DA255A">
        <w:rPr>
          <w:sz w:val="18"/>
          <w:szCs w:val="16"/>
        </w:rPr>
        <w:t>2</w:t>
      </w:r>
      <w:r w:rsidR="005C0089" w:rsidRPr="00DA255A">
        <w:rPr>
          <w:sz w:val="18"/>
          <w:szCs w:val="16"/>
        </w:rPr>
        <w:fldChar w:fldCharType="end"/>
      </w:r>
      <w:bookmarkEnd w:id="3"/>
      <w:r w:rsidRPr="00DA255A">
        <w:rPr>
          <w:sz w:val="18"/>
          <w:szCs w:val="16"/>
        </w:rPr>
        <w:t xml:space="preserve">. </w:t>
      </w:r>
      <w:r w:rsidR="0094390D" w:rsidRPr="00DA255A">
        <w:rPr>
          <w:sz w:val="18"/>
          <w:szCs w:val="16"/>
        </w:rPr>
        <w:t>C</w:t>
      </w:r>
      <w:r w:rsidRPr="00DA255A">
        <w:rPr>
          <w:sz w:val="18"/>
          <w:szCs w:val="16"/>
        </w:rPr>
        <w:t xml:space="preserve">antidad (toneladas) y proporción (%) de </w:t>
      </w:r>
      <w:r w:rsidR="0094390D" w:rsidRPr="00DA255A">
        <w:rPr>
          <w:sz w:val="18"/>
          <w:szCs w:val="16"/>
        </w:rPr>
        <w:t xml:space="preserve">la composición de </w:t>
      </w:r>
      <w:r w:rsidRPr="00DA255A">
        <w:rPr>
          <w:sz w:val="18"/>
          <w:szCs w:val="16"/>
        </w:rPr>
        <w:t>plásticos en 2017</w:t>
      </w:r>
      <w:r w:rsidR="003B51FD" w:rsidRPr="00DA255A">
        <w:rPr>
          <w:sz w:val="18"/>
          <w:szCs w:val="16"/>
        </w:rPr>
        <w:t xml:space="preserve"> en la región.</w:t>
      </w:r>
    </w:p>
    <w:tbl>
      <w:tblPr>
        <w:tblStyle w:val="Tablaconcuadrcula"/>
        <w:tblW w:w="4390" w:type="dxa"/>
        <w:tblLook w:val="04A0" w:firstRow="1" w:lastRow="0" w:firstColumn="1" w:lastColumn="0" w:noHBand="0" w:noVBand="1"/>
      </w:tblPr>
      <w:tblGrid>
        <w:gridCol w:w="1413"/>
        <w:gridCol w:w="1417"/>
        <w:gridCol w:w="1560"/>
      </w:tblGrid>
      <w:tr w:rsidR="009318C0" w14:paraId="70E8953E" w14:textId="77777777" w:rsidTr="00F15861">
        <w:tc>
          <w:tcPr>
            <w:tcW w:w="1413" w:type="dxa"/>
            <w:tcBorders>
              <w:left w:val="single" w:sz="4" w:space="0" w:color="auto"/>
              <w:right w:val="single" w:sz="4" w:space="0" w:color="auto"/>
            </w:tcBorders>
            <w:shd w:val="clear" w:color="auto" w:fill="D9D9D9" w:themeFill="background1" w:themeFillShade="D9"/>
            <w:vAlign w:val="center"/>
          </w:tcPr>
          <w:p w14:paraId="5DF67BFD" w14:textId="77777777" w:rsidR="009318C0" w:rsidRDefault="009318C0">
            <w:pPr>
              <w:jc w:val="left"/>
              <w:rPr>
                <w:noProof/>
                <w:lang w:eastAsia="es-CO"/>
              </w:rPr>
            </w:pPr>
            <w:r>
              <w:rPr>
                <w:noProof/>
                <w:lang w:eastAsia="es-CO"/>
              </w:rPr>
              <w:t>Tipo de plástico</w:t>
            </w:r>
          </w:p>
        </w:tc>
        <w:tc>
          <w:tcPr>
            <w:tcW w:w="1417" w:type="dxa"/>
            <w:tcBorders>
              <w:left w:val="single" w:sz="4" w:space="0" w:color="auto"/>
              <w:right w:val="single" w:sz="4" w:space="0" w:color="auto"/>
            </w:tcBorders>
            <w:shd w:val="clear" w:color="auto" w:fill="D9D9D9" w:themeFill="background1" w:themeFillShade="D9"/>
            <w:vAlign w:val="center"/>
          </w:tcPr>
          <w:p w14:paraId="53FF8D0C" w14:textId="77777777" w:rsidR="009318C0" w:rsidRDefault="009318C0">
            <w:pPr>
              <w:jc w:val="center"/>
              <w:rPr>
                <w:noProof/>
                <w:lang w:eastAsia="es-CO"/>
              </w:rPr>
            </w:pPr>
            <w:r>
              <w:rPr>
                <w:noProof/>
                <w:lang w:eastAsia="es-CO"/>
              </w:rPr>
              <w:t>Cantidad (m</w:t>
            </w:r>
            <w:r w:rsidRPr="00C72E32">
              <w:rPr>
                <w:noProof/>
                <w:vertAlign w:val="subscript"/>
                <w:lang w:eastAsia="es-CO"/>
              </w:rPr>
              <w:t>i</w:t>
            </w:r>
            <w:r>
              <w:rPr>
                <w:noProof/>
                <w:lang w:eastAsia="es-CO"/>
              </w:rPr>
              <w:t>)</w:t>
            </w:r>
          </w:p>
        </w:tc>
        <w:tc>
          <w:tcPr>
            <w:tcW w:w="1560" w:type="dxa"/>
            <w:tcBorders>
              <w:left w:val="single" w:sz="4" w:space="0" w:color="auto"/>
              <w:right w:val="single" w:sz="4" w:space="0" w:color="auto"/>
            </w:tcBorders>
            <w:shd w:val="clear" w:color="auto" w:fill="D9D9D9" w:themeFill="background1" w:themeFillShade="D9"/>
            <w:vAlign w:val="center"/>
          </w:tcPr>
          <w:p w14:paraId="0DD2F408" w14:textId="77777777" w:rsidR="009318C0" w:rsidRDefault="009318C0">
            <w:pPr>
              <w:jc w:val="center"/>
              <w:rPr>
                <w:noProof/>
                <w:lang w:eastAsia="es-CO"/>
              </w:rPr>
            </w:pPr>
            <w:r>
              <w:rPr>
                <w:noProof/>
                <w:lang w:eastAsia="es-CO"/>
              </w:rPr>
              <w:t>Proporción (p</w:t>
            </w:r>
            <w:r w:rsidRPr="00C72E32">
              <w:rPr>
                <w:noProof/>
                <w:vertAlign w:val="subscript"/>
                <w:lang w:eastAsia="es-CO"/>
              </w:rPr>
              <w:t>i</w:t>
            </w:r>
            <w:r>
              <w:rPr>
                <w:noProof/>
                <w:lang w:eastAsia="es-CO"/>
              </w:rPr>
              <w:t>)</w:t>
            </w:r>
            <w:r w:rsidRPr="00643057">
              <w:rPr>
                <w:noProof/>
                <w:vertAlign w:val="superscript"/>
                <w:lang w:eastAsia="es-CO"/>
              </w:rPr>
              <w:t>1</w:t>
            </w:r>
          </w:p>
        </w:tc>
      </w:tr>
      <w:tr w:rsidR="009318C0" w14:paraId="3A7B1D1A" w14:textId="77777777">
        <w:tc>
          <w:tcPr>
            <w:tcW w:w="1413" w:type="dxa"/>
            <w:tcBorders>
              <w:left w:val="single" w:sz="4" w:space="0" w:color="auto"/>
              <w:right w:val="single" w:sz="4" w:space="0" w:color="auto"/>
            </w:tcBorders>
          </w:tcPr>
          <w:p w14:paraId="25B27086" w14:textId="77777777" w:rsidR="009318C0" w:rsidRDefault="009318C0">
            <w:pPr>
              <w:rPr>
                <w:noProof/>
                <w:lang w:eastAsia="es-CO"/>
              </w:rPr>
            </w:pPr>
            <w:r>
              <w:rPr>
                <w:noProof/>
                <w:lang w:eastAsia="es-CO"/>
              </w:rPr>
              <w:t>PET</w:t>
            </w:r>
          </w:p>
        </w:tc>
        <w:tc>
          <w:tcPr>
            <w:tcW w:w="1417" w:type="dxa"/>
            <w:tcBorders>
              <w:left w:val="single" w:sz="4" w:space="0" w:color="auto"/>
              <w:right w:val="single" w:sz="4" w:space="0" w:color="auto"/>
            </w:tcBorders>
          </w:tcPr>
          <w:p w14:paraId="4993880A" w14:textId="77777777" w:rsidR="009318C0" w:rsidRDefault="009318C0">
            <w:pPr>
              <w:jc w:val="center"/>
              <w:rPr>
                <w:noProof/>
                <w:lang w:eastAsia="es-CO"/>
              </w:rPr>
            </w:pPr>
            <w:r>
              <w:rPr>
                <w:noProof/>
                <w:lang w:eastAsia="es-CO"/>
              </w:rPr>
              <w:t>10.080,53</w:t>
            </w:r>
          </w:p>
        </w:tc>
        <w:tc>
          <w:tcPr>
            <w:tcW w:w="1560" w:type="dxa"/>
            <w:tcBorders>
              <w:left w:val="single" w:sz="4" w:space="0" w:color="auto"/>
              <w:right w:val="single" w:sz="4" w:space="0" w:color="auto"/>
            </w:tcBorders>
          </w:tcPr>
          <w:p w14:paraId="3BD6CCC9" w14:textId="77777777" w:rsidR="009318C0" w:rsidRDefault="009318C0">
            <w:pPr>
              <w:jc w:val="center"/>
              <w:rPr>
                <w:noProof/>
                <w:lang w:eastAsia="es-CO"/>
              </w:rPr>
            </w:pPr>
            <w:r>
              <w:rPr>
                <w:noProof/>
                <w:lang w:eastAsia="es-CO"/>
              </w:rPr>
              <w:t>5,81</w:t>
            </w:r>
          </w:p>
        </w:tc>
      </w:tr>
      <w:tr w:rsidR="009318C0" w14:paraId="66D164E5" w14:textId="77777777">
        <w:tc>
          <w:tcPr>
            <w:tcW w:w="1413" w:type="dxa"/>
            <w:tcBorders>
              <w:left w:val="single" w:sz="4" w:space="0" w:color="auto"/>
              <w:right w:val="single" w:sz="4" w:space="0" w:color="auto"/>
            </w:tcBorders>
          </w:tcPr>
          <w:p w14:paraId="20183F5F" w14:textId="77777777" w:rsidR="009318C0" w:rsidRDefault="009318C0">
            <w:pPr>
              <w:rPr>
                <w:noProof/>
                <w:lang w:eastAsia="es-CO"/>
              </w:rPr>
            </w:pPr>
            <w:r>
              <w:rPr>
                <w:noProof/>
                <w:lang w:eastAsia="es-CO"/>
              </w:rPr>
              <w:t>HDPE</w:t>
            </w:r>
          </w:p>
        </w:tc>
        <w:tc>
          <w:tcPr>
            <w:tcW w:w="1417" w:type="dxa"/>
            <w:tcBorders>
              <w:left w:val="single" w:sz="4" w:space="0" w:color="auto"/>
              <w:right w:val="single" w:sz="4" w:space="0" w:color="auto"/>
            </w:tcBorders>
          </w:tcPr>
          <w:p w14:paraId="5D43D994" w14:textId="77777777" w:rsidR="009318C0" w:rsidRDefault="009318C0">
            <w:pPr>
              <w:jc w:val="center"/>
              <w:rPr>
                <w:noProof/>
                <w:lang w:eastAsia="es-CO"/>
              </w:rPr>
            </w:pPr>
            <w:r>
              <w:rPr>
                <w:noProof/>
                <w:lang w:eastAsia="es-CO"/>
              </w:rPr>
              <w:t>2.860,69</w:t>
            </w:r>
          </w:p>
        </w:tc>
        <w:tc>
          <w:tcPr>
            <w:tcW w:w="1560" w:type="dxa"/>
            <w:tcBorders>
              <w:left w:val="single" w:sz="4" w:space="0" w:color="auto"/>
              <w:right w:val="single" w:sz="4" w:space="0" w:color="auto"/>
            </w:tcBorders>
          </w:tcPr>
          <w:p w14:paraId="0EFEFA34" w14:textId="77777777" w:rsidR="009318C0" w:rsidRDefault="009318C0">
            <w:pPr>
              <w:jc w:val="center"/>
              <w:rPr>
                <w:noProof/>
                <w:lang w:eastAsia="es-CO"/>
              </w:rPr>
            </w:pPr>
            <w:r>
              <w:rPr>
                <w:noProof/>
                <w:lang w:eastAsia="es-CO"/>
              </w:rPr>
              <w:t>1,65</w:t>
            </w:r>
          </w:p>
        </w:tc>
      </w:tr>
      <w:tr w:rsidR="009318C0" w14:paraId="6B7340B1" w14:textId="77777777">
        <w:tc>
          <w:tcPr>
            <w:tcW w:w="1413" w:type="dxa"/>
            <w:tcBorders>
              <w:left w:val="single" w:sz="4" w:space="0" w:color="auto"/>
              <w:right w:val="single" w:sz="4" w:space="0" w:color="auto"/>
            </w:tcBorders>
          </w:tcPr>
          <w:p w14:paraId="0A189463" w14:textId="77777777" w:rsidR="009318C0" w:rsidRDefault="009318C0">
            <w:pPr>
              <w:rPr>
                <w:noProof/>
                <w:lang w:eastAsia="es-CO"/>
              </w:rPr>
            </w:pPr>
            <w:r>
              <w:rPr>
                <w:noProof/>
                <w:lang w:eastAsia="es-CO"/>
              </w:rPr>
              <w:t>PVC</w:t>
            </w:r>
          </w:p>
        </w:tc>
        <w:tc>
          <w:tcPr>
            <w:tcW w:w="1417" w:type="dxa"/>
            <w:tcBorders>
              <w:left w:val="single" w:sz="4" w:space="0" w:color="auto"/>
              <w:right w:val="single" w:sz="4" w:space="0" w:color="auto"/>
            </w:tcBorders>
          </w:tcPr>
          <w:p w14:paraId="6C0162B8" w14:textId="77777777" w:rsidR="009318C0" w:rsidRDefault="009318C0">
            <w:pPr>
              <w:jc w:val="center"/>
              <w:rPr>
                <w:noProof/>
                <w:lang w:eastAsia="es-CO"/>
              </w:rPr>
            </w:pPr>
            <w:r>
              <w:rPr>
                <w:noProof/>
                <w:lang w:eastAsia="es-CO"/>
              </w:rPr>
              <w:t>113,52</w:t>
            </w:r>
          </w:p>
        </w:tc>
        <w:tc>
          <w:tcPr>
            <w:tcW w:w="1560" w:type="dxa"/>
            <w:tcBorders>
              <w:left w:val="single" w:sz="4" w:space="0" w:color="auto"/>
              <w:right w:val="single" w:sz="4" w:space="0" w:color="auto"/>
            </w:tcBorders>
          </w:tcPr>
          <w:p w14:paraId="0C3514FF" w14:textId="77777777" w:rsidR="009318C0" w:rsidRDefault="009318C0">
            <w:pPr>
              <w:jc w:val="center"/>
              <w:rPr>
                <w:noProof/>
                <w:lang w:eastAsia="es-CO"/>
              </w:rPr>
            </w:pPr>
            <w:r>
              <w:rPr>
                <w:noProof/>
                <w:lang w:eastAsia="es-CO"/>
              </w:rPr>
              <w:t>0,07</w:t>
            </w:r>
          </w:p>
        </w:tc>
      </w:tr>
      <w:tr w:rsidR="009318C0" w14:paraId="036816AB" w14:textId="77777777">
        <w:tc>
          <w:tcPr>
            <w:tcW w:w="1413" w:type="dxa"/>
            <w:tcBorders>
              <w:left w:val="single" w:sz="4" w:space="0" w:color="auto"/>
              <w:right w:val="single" w:sz="4" w:space="0" w:color="auto"/>
            </w:tcBorders>
          </w:tcPr>
          <w:p w14:paraId="3F85C022" w14:textId="77777777" w:rsidR="009318C0" w:rsidRDefault="009318C0">
            <w:pPr>
              <w:rPr>
                <w:noProof/>
                <w:lang w:eastAsia="es-CO"/>
              </w:rPr>
            </w:pPr>
            <w:r>
              <w:rPr>
                <w:noProof/>
                <w:lang w:eastAsia="es-CO"/>
              </w:rPr>
              <w:t>LDPE</w:t>
            </w:r>
          </w:p>
        </w:tc>
        <w:tc>
          <w:tcPr>
            <w:tcW w:w="1417" w:type="dxa"/>
            <w:tcBorders>
              <w:left w:val="single" w:sz="4" w:space="0" w:color="auto"/>
              <w:right w:val="single" w:sz="4" w:space="0" w:color="auto"/>
            </w:tcBorders>
          </w:tcPr>
          <w:p w14:paraId="0928BFAE" w14:textId="77777777" w:rsidR="009318C0" w:rsidRDefault="009318C0">
            <w:pPr>
              <w:jc w:val="center"/>
              <w:rPr>
                <w:noProof/>
                <w:lang w:eastAsia="es-CO"/>
              </w:rPr>
            </w:pPr>
            <w:r>
              <w:rPr>
                <w:noProof/>
                <w:lang w:eastAsia="es-CO"/>
              </w:rPr>
              <w:t>4.268,33</w:t>
            </w:r>
          </w:p>
        </w:tc>
        <w:tc>
          <w:tcPr>
            <w:tcW w:w="1560" w:type="dxa"/>
            <w:tcBorders>
              <w:left w:val="single" w:sz="4" w:space="0" w:color="auto"/>
              <w:right w:val="single" w:sz="4" w:space="0" w:color="auto"/>
            </w:tcBorders>
          </w:tcPr>
          <w:p w14:paraId="7B4E3C31" w14:textId="77777777" w:rsidR="009318C0" w:rsidRDefault="009318C0">
            <w:pPr>
              <w:jc w:val="center"/>
              <w:rPr>
                <w:noProof/>
                <w:lang w:eastAsia="es-CO"/>
              </w:rPr>
            </w:pPr>
            <w:r>
              <w:rPr>
                <w:noProof/>
                <w:lang w:eastAsia="es-CO"/>
              </w:rPr>
              <w:t>2,46</w:t>
            </w:r>
          </w:p>
        </w:tc>
      </w:tr>
      <w:tr w:rsidR="009318C0" w14:paraId="4EECAB09" w14:textId="77777777">
        <w:tc>
          <w:tcPr>
            <w:tcW w:w="1413" w:type="dxa"/>
            <w:tcBorders>
              <w:left w:val="single" w:sz="4" w:space="0" w:color="auto"/>
              <w:right w:val="single" w:sz="4" w:space="0" w:color="auto"/>
            </w:tcBorders>
          </w:tcPr>
          <w:p w14:paraId="4B3A6321" w14:textId="77777777" w:rsidR="009318C0" w:rsidRDefault="009318C0">
            <w:pPr>
              <w:rPr>
                <w:noProof/>
                <w:lang w:eastAsia="es-CO"/>
              </w:rPr>
            </w:pPr>
            <w:r>
              <w:rPr>
                <w:noProof/>
                <w:lang w:eastAsia="es-CO"/>
              </w:rPr>
              <w:t>PP</w:t>
            </w:r>
          </w:p>
        </w:tc>
        <w:tc>
          <w:tcPr>
            <w:tcW w:w="1417" w:type="dxa"/>
            <w:tcBorders>
              <w:left w:val="single" w:sz="4" w:space="0" w:color="auto"/>
              <w:right w:val="single" w:sz="4" w:space="0" w:color="auto"/>
            </w:tcBorders>
          </w:tcPr>
          <w:p w14:paraId="19F9CDFF" w14:textId="77777777" w:rsidR="009318C0" w:rsidRDefault="009318C0">
            <w:pPr>
              <w:jc w:val="center"/>
              <w:rPr>
                <w:noProof/>
                <w:lang w:eastAsia="es-CO"/>
              </w:rPr>
            </w:pPr>
            <w:r>
              <w:rPr>
                <w:noProof/>
                <w:lang w:eastAsia="es-CO"/>
              </w:rPr>
              <w:t>1.226,01</w:t>
            </w:r>
          </w:p>
        </w:tc>
        <w:tc>
          <w:tcPr>
            <w:tcW w:w="1560" w:type="dxa"/>
            <w:tcBorders>
              <w:left w:val="single" w:sz="4" w:space="0" w:color="auto"/>
              <w:right w:val="single" w:sz="4" w:space="0" w:color="auto"/>
            </w:tcBorders>
          </w:tcPr>
          <w:p w14:paraId="1F605D6C" w14:textId="77777777" w:rsidR="009318C0" w:rsidRDefault="009318C0">
            <w:pPr>
              <w:jc w:val="center"/>
              <w:rPr>
                <w:noProof/>
                <w:lang w:eastAsia="es-CO"/>
              </w:rPr>
            </w:pPr>
            <w:r>
              <w:rPr>
                <w:noProof/>
                <w:lang w:eastAsia="es-CO"/>
              </w:rPr>
              <w:t>0,71</w:t>
            </w:r>
          </w:p>
        </w:tc>
      </w:tr>
      <w:tr w:rsidR="009318C0" w14:paraId="6EBB25F6" w14:textId="77777777">
        <w:tc>
          <w:tcPr>
            <w:tcW w:w="1413" w:type="dxa"/>
            <w:tcBorders>
              <w:left w:val="single" w:sz="4" w:space="0" w:color="auto"/>
              <w:right w:val="single" w:sz="4" w:space="0" w:color="auto"/>
            </w:tcBorders>
          </w:tcPr>
          <w:p w14:paraId="686A57F3" w14:textId="77777777" w:rsidR="009318C0" w:rsidRDefault="009318C0">
            <w:pPr>
              <w:rPr>
                <w:noProof/>
                <w:lang w:eastAsia="es-CO"/>
              </w:rPr>
            </w:pPr>
            <w:r>
              <w:rPr>
                <w:noProof/>
                <w:lang w:eastAsia="es-CO"/>
              </w:rPr>
              <w:t>PS</w:t>
            </w:r>
          </w:p>
        </w:tc>
        <w:tc>
          <w:tcPr>
            <w:tcW w:w="1417" w:type="dxa"/>
            <w:tcBorders>
              <w:left w:val="single" w:sz="4" w:space="0" w:color="auto"/>
              <w:right w:val="single" w:sz="4" w:space="0" w:color="auto"/>
            </w:tcBorders>
          </w:tcPr>
          <w:p w14:paraId="52BD03C1" w14:textId="77777777" w:rsidR="009318C0" w:rsidRDefault="009318C0">
            <w:pPr>
              <w:jc w:val="center"/>
              <w:rPr>
                <w:noProof/>
                <w:lang w:eastAsia="es-CO"/>
              </w:rPr>
            </w:pPr>
            <w:r>
              <w:rPr>
                <w:noProof/>
                <w:lang w:eastAsia="es-CO"/>
              </w:rPr>
              <w:t>1.839,02</w:t>
            </w:r>
          </w:p>
        </w:tc>
        <w:tc>
          <w:tcPr>
            <w:tcW w:w="1560" w:type="dxa"/>
            <w:tcBorders>
              <w:left w:val="single" w:sz="4" w:space="0" w:color="auto"/>
              <w:right w:val="single" w:sz="4" w:space="0" w:color="auto"/>
            </w:tcBorders>
          </w:tcPr>
          <w:p w14:paraId="3845F455" w14:textId="77777777" w:rsidR="009318C0" w:rsidRDefault="009318C0">
            <w:pPr>
              <w:jc w:val="center"/>
              <w:rPr>
                <w:noProof/>
                <w:lang w:eastAsia="es-CO"/>
              </w:rPr>
            </w:pPr>
            <w:r>
              <w:rPr>
                <w:noProof/>
                <w:lang w:eastAsia="es-CO"/>
              </w:rPr>
              <w:t>1,06</w:t>
            </w:r>
          </w:p>
        </w:tc>
      </w:tr>
      <w:tr w:rsidR="009318C0" w14:paraId="110CA799" w14:textId="77777777">
        <w:tc>
          <w:tcPr>
            <w:tcW w:w="1413" w:type="dxa"/>
            <w:tcBorders>
              <w:left w:val="single" w:sz="4" w:space="0" w:color="auto"/>
              <w:right w:val="single" w:sz="4" w:space="0" w:color="auto"/>
            </w:tcBorders>
          </w:tcPr>
          <w:p w14:paraId="1CAC3A57" w14:textId="77777777" w:rsidR="009318C0" w:rsidRPr="000B4EFF" w:rsidRDefault="009318C0">
            <w:pPr>
              <w:rPr>
                <w:b/>
                <w:bCs/>
                <w:noProof/>
                <w:lang w:eastAsia="es-CO"/>
              </w:rPr>
            </w:pPr>
            <w:r w:rsidRPr="000B4EFF">
              <w:rPr>
                <w:b/>
                <w:bCs/>
                <w:noProof/>
                <w:lang w:eastAsia="es-CO"/>
              </w:rPr>
              <w:t>Total</w:t>
            </w:r>
          </w:p>
        </w:tc>
        <w:tc>
          <w:tcPr>
            <w:tcW w:w="1417" w:type="dxa"/>
            <w:tcBorders>
              <w:left w:val="single" w:sz="4" w:space="0" w:color="auto"/>
              <w:right w:val="single" w:sz="4" w:space="0" w:color="auto"/>
            </w:tcBorders>
          </w:tcPr>
          <w:p w14:paraId="1646EBB5" w14:textId="77777777" w:rsidR="009318C0" w:rsidRPr="000B4EFF" w:rsidRDefault="009318C0">
            <w:pPr>
              <w:jc w:val="center"/>
              <w:rPr>
                <w:b/>
                <w:bCs/>
                <w:noProof/>
                <w:lang w:eastAsia="es-CO"/>
              </w:rPr>
            </w:pPr>
            <w:r>
              <w:rPr>
                <w:b/>
                <w:bCs/>
                <w:noProof/>
                <w:lang w:eastAsia="es-CO"/>
              </w:rPr>
              <w:t>20.388,10</w:t>
            </w:r>
          </w:p>
        </w:tc>
        <w:tc>
          <w:tcPr>
            <w:tcW w:w="1560" w:type="dxa"/>
            <w:tcBorders>
              <w:left w:val="single" w:sz="4" w:space="0" w:color="auto"/>
              <w:right w:val="single" w:sz="4" w:space="0" w:color="auto"/>
            </w:tcBorders>
          </w:tcPr>
          <w:p w14:paraId="39CD38E6" w14:textId="77777777" w:rsidR="009318C0" w:rsidRPr="000B4EFF" w:rsidRDefault="009318C0">
            <w:pPr>
              <w:jc w:val="center"/>
              <w:rPr>
                <w:b/>
                <w:bCs/>
                <w:noProof/>
                <w:lang w:eastAsia="es-CO"/>
              </w:rPr>
            </w:pPr>
            <w:r>
              <w:rPr>
                <w:b/>
                <w:bCs/>
                <w:noProof/>
                <w:lang w:eastAsia="es-CO"/>
              </w:rPr>
              <w:t>11,76</w:t>
            </w:r>
          </w:p>
        </w:tc>
      </w:tr>
    </w:tbl>
    <w:p w14:paraId="2D865C78" w14:textId="77777777" w:rsidR="009318C0" w:rsidRPr="0028362B" w:rsidRDefault="009318C0" w:rsidP="0028362B">
      <w:pPr>
        <w:pStyle w:val="Descripcin"/>
        <w:spacing w:before="0"/>
        <w:rPr>
          <w:sz w:val="18"/>
          <w:szCs w:val="16"/>
        </w:rPr>
      </w:pPr>
      <w:r w:rsidRPr="007C7FB4">
        <w:rPr>
          <w:sz w:val="18"/>
          <w:szCs w:val="16"/>
          <w:vertAlign w:val="superscript"/>
        </w:rPr>
        <w:t>1</w:t>
      </w:r>
      <w:r w:rsidRPr="0028362B">
        <w:rPr>
          <w:sz w:val="18"/>
          <w:szCs w:val="16"/>
        </w:rPr>
        <w:t xml:space="preserve"> calculado en base a la cantidad total de residuos.</w:t>
      </w:r>
    </w:p>
    <w:p w14:paraId="169630CD" w14:textId="5ECFA555" w:rsidR="009318C0" w:rsidRPr="0028362B" w:rsidRDefault="009318C0" w:rsidP="0028362B">
      <w:pPr>
        <w:pStyle w:val="Descripcin"/>
        <w:rPr>
          <w:sz w:val="18"/>
          <w:szCs w:val="16"/>
        </w:rPr>
      </w:pPr>
      <w:r w:rsidRPr="0028362B">
        <w:rPr>
          <w:sz w:val="18"/>
          <w:szCs w:val="16"/>
        </w:rPr>
        <w:t>Fuente: AGIES</w:t>
      </w:r>
      <w:r w:rsidR="006A774B">
        <w:rPr>
          <w:sz w:val="18"/>
          <w:szCs w:val="16"/>
        </w:rPr>
        <w:t xml:space="preserve"> [25].</w:t>
      </w:r>
    </w:p>
    <w:p w14:paraId="23D36B4E" w14:textId="6381F5CD" w:rsidR="00E80CE1" w:rsidRDefault="001802E8" w:rsidP="00D57C22">
      <w:r>
        <w:t xml:space="preserve">Conocidas cantidades y proporciones de componentes de RSU se estima el poder calorífico de los </w:t>
      </w:r>
      <w:r w:rsidR="00015C83">
        <w:t>mismos</w:t>
      </w:r>
      <w:r>
        <w:t>.</w:t>
      </w:r>
    </w:p>
    <w:p w14:paraId="698B07E5" w14:textId="54051356" w:rsidR="000D3915" w:rsidRPr="00D57C22" w:rsidRDefault="00DE00E5" w:rsidP="000D3915">
      <w:pPr>
        <w:pStyle w:val="Ttulo2"/>
      </w:pPr>
      <w:r>
        <w:t>Estimación del poder calorífico inferior (</w:t>
      </w:r>
      <w:r w:rsidR="008C4115">
        <w:t>LHV</w:t>
      </w:r>
      <w:r w:rsidR="009C4B9E">
        <w:t>) de los RSU</w:t>
      </w:r>
    </w:p>
    <w:p w14:paraId="645E8BBC" w14:textId="21B8557A" w:rsidR="00446D82" w:rsidRDefault="00446D82" w:rsidP="00927E2E">
      <w:r>
        <w:t xml:space="preserve">Para conocer la potencialidad energética </w:t>
      </w:r>
      <w:r w:rsidR="00D9287E">
        <w:t>de los residuos se estima el valor del poder calorífico inferior</w:t>
      </w:r>
      <w:r w:rsidR="008E79FF">
        <w:t xml:space="preserve"> húmedo</w:t>
      </w:r>
      <w:r w:rsidR="00D9287E">
        <w:t xml:space="preserve"> </w:t>
      </w:r>
      <w:r w:rsidR="009C77D5">
        <w:t xml:space="preserve">de cada componente </w:t>
      </w:r>
      <w:r w:rsidR="00D032AD">
        <w:t>(</w:t>
      </w:r>
      <w:r w:rsidR="00D006F0">
        <w:t>MJ/</w:t>
      </w:r>
      <w:r w:rsidR="004605E8" w:rsidRPr="00C35445">
        <w:t>kg</w:t>
      </w:r>
      <w:r w:rsidR="00D032AD">
        <w:t>)</w:t>
      </w:r>
      <w:r w:rsidR="004605E8">
        <w:t xml:space="preserve"> </w:t>
      </w:r>
      <w:r w:rsidR="00D9287E">
        <w:t>por medio de la</w:t>
      </w:r>
      <w:r w:rsidR="007B1E30">
        <w:t>s</w:t>
      </w:r>
      <w:r w:rsidR="00D9287E">
        <w:t xml:space="preserve"> </w:t>
      </w:r>
      <w:r w:rsidR="00A85F62">
        <w:t>ecuaci</w:t>
      </w:r>
      <w:r w:rsidR="007B1E30">
        <w:t>ones</w:t>
      </w:r>
      <w:r w:rsidR="00A85F62">
        <w:t xml:space="preserve"> </w:t>
      </w:r>
      <w:r w:rsidR="00A85F62">
        <w:fldChar w:fldCharType="begin"/>
      </w:r>
      <w:r w:rsidR="00A85F62">
        <w:instrText xml:space="preserve"> REF _Ref105325506 \h </w:instrText>
      </w:r>
      <w:r w:rsidR="00A85F62">
        <w:fldChar w:fldCharType="separate"/>
      </w:r>
      <w:r w:rsidR="00A85F62">
        <w:t>(</w:t>
      </w:r>
      <w:r w:rsidR="00A85F62">
        <w:rPr>
          <w:noProof/>
        </w:rPr>
        <w:t>1</w:t>
      </w:r>
      <w:r w:rsidR="00A85F62">
        <w:fldChar w:fldCharType="end"/>
      </w:r>
      <w:r w:rsidR="00A85F62">
        <w:t>)</w:t>
      </w:r>
      <w:r w:rsidR="007B1E30">
        <w:t xml:space="preserve"> y (2)</w:t>
      </w:r>
      <w:r w:rsidR="00215040">
        <w:t xml:space="preserve"> </w:t>
      </w:r>
      <w:r w:rsidR="006A774B">
        <w:t>[17]</w:t>
      </w:r>
      <w:r w:rsidR="006D751D">
        <w:t>:</w:t>
      </w:r>
    </w:p>
    <w:tbl>
      <w:tblPr>
        <w:tblStyle w:val="Tablaconcuadrcula"/>
        <w:tblW w:w="4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4"/>
      </w:tblGrid>
      <w:tr w:rsidR="00A526FA" w14:paraId="26DFFC76" w14:textId="77777777" w:rsidTr="006D4F0A">
        <w:tc>
          <w:tcPr>
            <w:tcW w:w="3964" w:type="dxa"/>
            <w:vAlign w:val="center"/>
          </w:tcPr>
          <w:p w14:paraId="10827365" w14:textId="343AF073" w:rsidR="00A526FA" w:rsidRPr="00FA2C26" w:rsidRDefault="007D63EF" w:rsidP="00F145AD">
            <w:pPr>
              <w:spacing w:before="120" w:after="120"/>
              <w:jc w:val="right"/>
              <w:rPr>
                <w:iCs/>
              </w:rPr>
            </w:pPr>
            <m:oMathPara>
              <m:oMath>
                <m:sSub>
                  <m:sSubPr>
                    <m:ctrlPr>
                      <w:rPr>
                        <w:rFonts w:ascii="Cambria Math" w:hAnsi="Cambria Math"/>
                        <w:iCs/>
                      </w:rPr>
                    </m:ctrlPr>
                  </m:sSubPr>
                  <m:e>
                    <m:r>
                      <m:rPr>
                        <m:sty m:val="p"/>
                      </m:rPr>
                      <w:rPr>
                        <w:rFonts w:ascii="Cambria Math" w:hAnsi="Cambria Math"/>
                      </w:rPr>
                      <m:t>LHV</m:t>
                    </m:r>
                  </m:e>
                  <m:sub>
                    <m:r>
                      <m:rPr>
                        <m:sty m:val="p"/>
                      </m:rPr>
                      <w:rPr>
                        <w:rFonts w:ascii="Cambria Math" w:hAnsi="Cambria Math"/>
                      </w:rPr>
                      <m:t>wet</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HHV</m:t>
                    </m:r>
                  </m:e>
                  <m:sub>
                    <m:r>
                      <m:rPr>
                        <m:sty m:val="p"/>
                      </m:rPr>
                      <w:rPr>
                        <w:rFonts w:ascii="Cambria Math" w:hAnsi="Cambria Math"/>
                      </w:rPr>
                      <m:t>daf</m:t>
                    </m:r>
                  </m:sub>
                </m:sSub>
                <m:r>
                  <m:rPr>
                    <m:sty m:val="p"/>
                  </m:rPr>
                  <w:rPr>
                    <w:rFonts w:ascii="Cambria Math" w:hAnsi="Cambria Math"/>
                  </w:rPr>
                  <m:t>∙</m:t>
                </m:r>
                <m:d>
                  <m:dPr>
                    <m:ctrlPr>
                      <w:rPr>
                        <w:rFonts w:ascii="Cambria Math" w:hAnsi="Cambria Math"/>
                        <w:iCs/>
                      </w:rPr>
                    </m:ctrlPr>
                  </m:dPr>
                  <m:e>
                    <m:r>
                      <m:rPr>
                        <m:sty m:val="p"/>
                      </m:rPr>
                      <w:rPr>
                        <w:rFonts w:ascii="Cambria Math" w:hAnsi="Cambria Math"/>
                      </w:rPr>
                      <m:t>1-</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w</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w</m:t>
                            </m:r>
                          </m:sub>
                        </m:sSub>
                      </m:e>
                    </m:d>
                  </m:e>
                </m:d>
                <m:r>
                  <m:rPr>
                    <m:sty m:val="p"/>
                  </m:rPr>
                  <w:rPr>
                    <w:rFonts w:ascii="Cambria Math" w:hAnsi="Cambria Math"/>
                  </w:rPr>
                  <m:t>-</m:t>
                </m:r>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w</m:t>
                    </m:r>
                  </m:sub>
                </m:sSub>
                <m:r>
                  <m:rPr>
                    <m:sty m:val="p"/>
                  </m:rPr>
                  <w:rPr>
                    <w:rFonts w:ascii="Cambria Math" w:hAnsi="Cambria Math"/>
                  </w:rPr>
                  <m:t>∙</m:t>
                </m:r>
                <m:r>
                  <m:rPr>
                    <m:sty m:val="p"/>
                  </m:rPr>
                  <w:rPr>
                    <w:rFonts w:ascii="Cambria Math" w:hAnsi="Cambria Math"/>
                  </w:rPr>
                  <m:t>λ</m:t>
                </m:r>
              </m:oMath>
            </m:oMathPara>
          </w:p>
        </w:tc>
        <w:tc>
          <w:tcPr>
            <w:tcW w:w="534" w:type="dxa"/>
            <w:vAlign w:val="center"/>
          </w:tcPr>
          <w:p w14:paraId="779193CC" w14:textId="2A5E904C" w:rsidR="00A526FA" w:rsidRDefault="00A133BD" w:rsidP="00F145AD">
            <w:pPr>
              <w:pStyle w:val="Descripcin"/>
              <w:jc w:val="right"/>
            </w:pPr>
            <w:bookmarkStart w:id="4" w:name="_Ref105325506"/>
            <w:bookmarkStart w:id="5" w:name="_Ref105515943"/>
            <w:r>
              <w:t>(</w:t>
            </w:r>
            <w:r>
              <w:fldChar w:fldCharType="begin"/>
            </w:r>
            <w:r>
              <w:instrText>SEQ Ecuación \* ARABIC</w:instrText>
            </w:r>
            <w:r>
              <w:fldChar w:fldCharType="separate"/>
            </w:r>
            <w:r>
              <w:rPr>
                <w:noProof/>
              </w:rPr>
              <w:t>1</w:t>
            </w:r>
            <w:r>
              <w:fldChar w:fldCharType="end"/>
            </w:r>
            <w:bookmarkEnd w:id="4"/>
            <w:r>
              <w:t>)</w:t>
            </w:r>
            <w:bookmarkEnd w:id="5"/>
          </w:p>
        </w:tc>
      </w:tr>
    </w:tbl>
    <w:p w14:paraId="4EF051CD" w14:textId="6D9A35DD" w:rsidR="00446D82" w:rsidRDefault="00091E52" w:rsidP="00927E2E">
      <w:r>
        <w:t xml:space="preserve">donde </w:t>
      </w:r>
      <w:r w:rsidR="001A2889">
        <w:t>HHV</w:t>
      </w:r>
      <w:r w:rsidR="001A2889" w:rsidRPr="00B25187">
        <w:rPr>
          <w:vertAlign w:val="subscript"/>
        </w:rPr>
        <w:t>daf</w:t>
      </w:r>
      <w:r w:rsidR="001A2889">
        <w:t xml:space="preserve"> es el poder calorífico superior </w:t>
      </w:r>
      <w:r w:rsidR="00F04022">
        <w:t>de los materiales secos y libres de cenizas (</w:t>
      </w:r>
      <w:r w:rsidR="003E1098">
        <w:t>MJ/</w:t>
      </w:r>
      <w:r w:rsidR="004605E8" w:rsidRPr="00C35445">
        <w:t>kg</w:t>
      </w:r>
      <w:r w:rsidR="003E1098">
        <w:t>),</w:t>
      </w:r>
      <w:r w:rsidR="005F03CF">
        <w:t xml:space="preserve"> </w:t>
      </w:r>
      <w:r w:rsidR="005F03CF">
        <w:rPr>
          <w:rFonts w:cs="Times New Roman"/>
        </w:rPr>
        <w:t>λ</w:t>
      </w:r>
      <w:r w:rsidR="003E1098">
        <w:t xml:space="preserve"> </w:t>
      </w:r>
      <w:r w:rsidR="004A0099">
        <w:t xml:space="preserve">representa la energía calorífica para vaporizar agua a 20°C equivalente a </w:t>
      </w:r>
      <w:r w:rsidR="009E4E3B">
        <w:t>2.450 MJ/tonelada</w:t>
      </w:r>
      <w:r w:rsidR="004C66C1">
        <w:t>,</w:t>
      </w:r>
      <w:r w:rsidR="001D694E">
        <w:t xml:space="preserve"> </w:t>
      </w:r>
      <w:r w:rsidR="005F03CF">
        <w:t>A</w:t>
      </w:r>
      <w:r w:rsidR="005F03CF" w:rsidRPr="00B25187">
        <w:rPr>
          <w:vertAlign w:val="subscript"/>
        </w:rPr>
        <w:t>w</w:t>
      </w:r>
      <w:r w:rsidR="005F03CF">
        <w:t xml:space="preserve"> es la fracción</w:t>
      </w:r>
      <w:r w:rsidR="004C66C1">
        <w:t xml:space="preserve"> de ceniza en materiales húmedos </w:t>
      </w:r>
      <w:r w:rsidR="0079292A">
        <w:t>y f</w:t>
      </w:r>
      <w:r w:rsidR="0079292A" w:rsidRPr="00B25187">
        <w:rPr>
          <w:vertAlign w:val="subscript"/>
        </w:rPr>
        <w:t>w</w:t>
      </w:r>
      <w:r w:rsidR="0079292A">
        <w:t xml:space="preserve"> es la proporción de agua presente</w:t>
      </w:r>
      <w:r w:rsidR="00AC0A7D">
        <w:t xml:space="preserve"> en el material húmedo. Estos dos términos se relacionan </w:t>
      </w:r>
      <w:r w:rsidR="006460BC">
        <w:t>a través</w:t>
      </w:r>
      <w:r w:rsidR="00AC0A7D">
        <w:t xml:space="preserve"> de la</w:t>
      </w:r>
      <w:r w:rsidR="00A85F62">
        <w:t xml:space="preserve"> ecuación</w:t>
      </w:r>
      <w:r w:rsidR="00AC0A7D">
        <w:t xml:space="preserve"> </w:t>
      </w:r>
      <w:r w:rsidR="00A85F62">
        <w:fldChar w:fldCharType="begin"/>
      </w:r>
      <w:r w:rsidR="00A85F62">
        <w:instrText xml:space="preserve"> REF _Ref105325533 \h </w:instrText>
      </w:r>
      <w:r w:rsidR="00A85F62">
        <w:fldChar w:fldCharType="separate"/>
      </w:r>
      <w:r w:rsidR="00A85F62">
        <w:t>(</w:t>
      </w:r>
      <w:r w:rsidR="00A85F62">
        <w:rPr>
          <w:noProof/>
        </w:rPr>
        <w:t>2</w:t>
      </w:r>
      <w:r w:rsidR="00A85F62">
        <w:t>)</w:t>
      </w:r>
      <w:r w:rsidR="00A85F62">
        <w:fldChar w:fldCharType="end"/>
      </w:r>
      <w:r w:rsidR="00AC0A7D">
        <w:t xml:space="preserve"> </w:t>
      </w:r>
    </w:p>
    <w:tbl>
      <w:tblPr>
        <w:tblStyle w:val="Tablaconcuadrcula"/>
        <w:tblW w:w="4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4"/>
      </w:tblGrid>
      <w:tr w:rsidR="006460BC" w14:paraId="51DD4675" w14:textId="77777777" w:rsidTr="00FD68C3">
        <w:tc>
          <w:tcPr>
            <w:tcW w:w="3964" w:type="dxa"/>
            <w:vAlign w:val="center"/>
          </w:tcPr>
          <w:p w14:paraId="0AF2743D" w14:textId="07AC52B4" w:rsidR="006460BC" w:rsidRPr="00FA2C26" w:rsidRDefault="007D63EF">
            <w:pPr>
              <w:spacing w:before="120" w:after="120"/>
              <w:jc w:val="right"/>
              <w:rPr>
                <w:iCs/>
              </w:rPr>
            </w:pPr>
            <m:oMathPara>
              <m:oMath>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w</m:t>
                    </m:r>
                  </m:sub>
                </m:sSub>
                <m:r>
                  <m:rPr>
                    <m:sty m:val="p"/>
                  </m:rPr>
                  <w:rPr>
                    <w:rFonts w:ascii="Cambria Math" w:hAnsi="Cambria Math"/>
                  </w:rPr>
                  <m:t>=</m:t>
                </m:r>
                <m:d>
                  <m:dPr>
                    <m:ctrlPr>
                      <w:rPr>
                        <w:rFonts w:ascii="Cambria Math" w:hAnsi="Cambria Math"/>
                        <w:iCs/>
                      </w:rPr>
                    </m:ctrlPr>
                  </m:dPr>
                  <m:e>
                    <m:r>
                      <m:rPr>
                        <m:sty m:val="p"/>
                      </m:rPr>
                      <w:rPr>
                        <w:rFonts w:ascii="Cambria Math" w:hAnsi="Cambria Math"/>
                      </w:rPr>
                      <m:t>1-</m:t>
                    </m:r>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w</m:t>
                        </m:r>
                      </m:sub>
                    </m:sSub>
                  </m:e>
                </m:d>
                <m:r>
                  <m:rPr>
                    <m:sty m:val="p"/>
                  </m:rPr>
                  <w:rPr>
                    <w:rFonts w:ascii="Cambria Math" w:hAnsi="Cambria Math"/>
                  </w:rPr>
                  <m:t>∙</m:t>
                </m:r>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d</m:t>
                    </m:r>
                  </m:sub>
                </m:sSub>
              </m:oMath>
            </m:oMathPara>
          </w:p>
        </w:tc>
        <w:tc>
          <w:tcPr>
            <w:tcW w:w="534" w:type="dxa"/>
            <w:vAlign w:val="center"/>
          </w:tcPr>
          <w:p w14:paraId="1261ED67" w14:textId="265030B6" w:rsidR="006460BC" w:rsidRDefault="006460BC">
            <w:pPr>
              <w:pStyle w:val="Descripcin"/>
              <w:jc w:val="right"/>
            </w:pPr>
            <w:bookmarkStart w:id="6" w:name="_Ref105325533"/>
            <w:r>
              <w:t>(</w:t>
            </w:r>
            <w:r>
              <w:fldChar w:fldCharType="begin"/>
            </w:r>
            <w:r>
              <w:instrText>SEQ Ecuación \* ARABIC</w:instrText>
            </w:r>
            <w:r>
              <w:fldChar w:fldCharType="separate"/>
            </w:r>
            <w:r>
              <w:rPr>
                <w:noProof/>
              </w:rPr>
              <w:t>2</w:t>
            </w:r>
            <w:r>
              <w:fldChar w:fldCharType="end"/>
            </w:r>
            <w:r>
              <w:t>)</w:t>
            </w:r>
            <w:bookmarkEnd w:id="6"/>
          </w:p>
        </w:tc>
      </w:tr>
    </w:tbl>
    <w:p w14:paraId="4F7A66BE" w14:textId="60E365CA" w:rsidR="00AC0A7D" w:rsidRDefault="00B25187" w:rsidP="00927E2E">
      <w:r>
        <w:t>s</w:t>
      </w:r>
      <w:r w:rsidR="00073649">
        <w:t>iendo A</w:t>
      </w:r>
      <w:r w:rsidR="00073649" w:rsidRPr="00B25187">
        <w:rPr>
          <w:vertAlign w:val="subscript"/>
        </w:rPr>
        <w:t>d</w:t>
      </w:r>
      <w:r w:rsidR="00073649">
        <w:t xml:space="preserve"> </w:t>
      </w:r>
      <w:r>
        <w:t>la proporción de ceniza en materiales secos.</w:t>
      </w:r>
      <w:r w:rsidR="006B4338">
        <w:t xml:space="preserve"> </w:t>
      </w:r>
      <w:r w:rsidR="006D751D">
        <w:t>El poder calorífico inferior de</w:t>
      </w:r>
      <w:r w:rsidR="00A81737">
        <w:t xml:space="preserve"> todos los componentes residuales se estima utilizando la expresión</w:t>
      </w:r>
      <w:r w:rsidR="0029703B">
        <w:t xml:space="preserve"> </w:t>
      </w:r>
      <w:r w:rsidR="0012442A">
        <w:fldChar w:fldCharType="begin"/>
      </w:r>
      <w:r w:rsidR="0012442A">
        <w:instrText xml:space="preserve"> REF _Ref105515830 \h </w:instrText>
      </w:r>
      <w:r w:rsidR="0012442A">
        <w:fldChar w:fldCharType="separate"/>
      </w:r>
      <w:r w:rsidR="0012442A">
        <w:t>(</w:t>
      </w:r>
      <w:r w:rsidR="0012442A">
        <w:rPr>
          <w:noProof/>
        </w:rPr>
        <w:t>3</w:t>
      </w:r>
      <w:r w:rsidR="0012442A">
        <w:t>)</w:t>
      </w:r>
      <w:r w:rsidR="0012442A">
        <w:fldChar w:fldCharType="end"/>
      </w:r>
      <w:r w:rsidR="0029703B">
        <w:t>:</w:t>
      </w:r>
    </w:p>
    <w:tbl>
      <w:tblPr>
        <w:tblStyle w:val="Tablaconcuadrcula"/>
        <w:tblW w:w="4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4"/>
      </w:tblGrid>
      <w:tr w:rsidR="0029703B" w14:paraId="749E99C1" w14:textId="77777777">
        <w:tc>
          <w:tcPr>
            <w:tcW w:w="3964" w:type="dxa"/>
            <w:vAlign w:val="center"/>
          </w:tcPr>
          <w:p w14:paraId="7D38E929" w14:textId="24EF0AD0" w:rsidR="0029703B" w:rsidRPr="00FA2C26" w:rsidRDefault="007D63EF">
            <w:pPr>
              <w:spacing w:before="120" w:after="120"/>
              <w:jc w:val="right"/>
              <w:rPr>
                <w:iCs/>
              </w:rPr>
            </w:pPr>
            <m:oMathPara>
              <m:oMath>
                <m:sSub>
                  <m:sSubPr>
                    <m:ctrlPr>
                      <w:rPr>
                        <w:rFonts w:ascii="Cambria Math" w:hAnsi="Cambria Math"/>
                        <w:iCs/>
                      </w:rPr>
                    </m:ctrlPr>
                  </m:sSubPr>
                  <m:e>
                    <m:r>
                      <m:rPr>
                        <m:sty m:val="p"/>
                      </m:rPr>
                      <w:rPr>
                        <w:rFonts w:ascii="Cambria Math" w:hAnsi="Cambria Math"/>
                      </w:rPr>
                      <m:t>LHV</m:t>
                    </m:r>
                  </m:e>
                  <m:sub>
                    <m:r>
                      <m:rPr>
                        <m:sty m:val="p"/>
                      </m:rPr>
                      <w:rPr>
                        <w:rFonts w:ascii="Cambria Math" w:hAnsi="Cambria Math"/>
                      </w:rPr>
                      <m:t>global</m:t>
                    </m:r>
                  </m:sub>
                </m:sSub>
                <m:r>
                  <m:rPr>
                    <m:sty m:val="p"/>
                  </m:rPr>
                  <w:rPr>
                    <w:rFonts w:ascii="Cambria Math" w:hAnsi="Cambria Math"/>
                  </w:rPr>
                  <m:t>=</m:t>
                </m:r>
                <m:nary>
                  <m:naryPr>
                    <m:chr m:val="∑"/>
                    <m:limLoc m:val="undOvr"/>
                    <m:ctrlPr>
                      <w:rPr>
                        <w:rFonts w:ascii="Cambria Math" w:hAnsi="Cambria Math"/>
                        <w:iCs/>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iCs/>
                          </w:rPr>
                        </m:ctrlPr>
                      </m:sSubPr>
                      <m:e>
                        <m:r>
                          <m:rPr>
                            <m:sty m:val="p"/>
                          </m:rPr>
                          <w:rPr>
                            <w:rFonts w:ascii="Cambria Math" w:hAnsi="Cambria Math"/>
                          </w:rPr>
                          <m:t>LHV</m:t>
                        </m:r>
                      </m:e>
                      <m:sub>
                        <m:r>
                          <m:rPr>
                            <m:sty m:val="p"/>
                          </m:rPr>
                          <w:rPr>
                            <w:rFonts w:ascii="Cambria Math" w:hAnsi="Cambria Math"/>
                          </w:rPr>
                          <m:t>wet, i</m:t>
                        </m:r>
                      </m:sub>
                    </m:sSub>
                  </m:e>
                </m:nary>
                <m:r>
                  <m:rPr>
                    <m:sty m:val="p"/>
                  </m:rPr>
                  <w:rPr>
                    <w:rFonts w:ascii="Cambria Math" w:hAnsi="Cambria Math"/>
                  </w:rPr>
                  <m:t>∙</m:t>
                </m:r>
                <m:sSub>
                  <m:sSubPr>
                    <m:ctrlPr>
                      <w:rPr>
                        <w:rFonts w:ascii="Cambria Math" w:hAnsi="Cambria Math"/>
                        <w:iCs/>
                      </w:rPr>
                    </m:ctrlPr>
                  </m:sSubPr>
                  <m:e>
                    <m:r>
                      <m:rPr>
                        <m:sty m:val="p"/>
                      </m:rPr>
                      <w:rPr>
                        <w:rFonts w:ascii="Cambria Math" w:hAnsi="Cambria Math"/>
                      </w:rPr>
                      <m:t>p</m:t>
                    </m:r>
                  </m:e>
                  <m:sub>
                    <m:r>
                      <m:rPr>
                        <m:sty m:val="p"/>
                      </m:rPr>
                      <w:rPr>
                        <w:rFonts w:ascii="Cambria Math" w:hAnsi="Cambria Math"/>
                      </w:rPr>
                      <m:t>i</m:t>
                    </m:r>
                  </m:sub>
                </m:sSub>
              </m:oMath>
            </m:oMathPara>
          </w:p>
        </w:tc>
        <w:tc>
          <w:tcPr>
            <w:tcW w:w="534" w:type="dxa"/>
            <w:vAlign w:val="center"/>
          </w:tcPr>
          <w:p w14:paraId="0B55C621" w14:textId="37A2447E" w:rsidR="0029703B" w:rsidRDefault="0029703B">
            <w:pPr>
              <w:pStyle w:val="Descripcin"/>
              <w:jc w:val="right"/>
            </w:pPr>
            <w:bookmarkStart w:id="7" w:name="_Ref110262227"/>
            <w:bookmarkStart w:id="8" w:name="_Ref105515830"/>
            <w:r>
              <w:t>(</w:t>
            </w:r>
            <w:r>
              <w:fldChar w:fldCharType="begin"/>
            </w:r>
            <w:r>
              <w:instrText>SEQ Ecuación \* ARABIC</w:instrText>
            </w:r>
            <w:r>
              <w:fldChar w:fldCharType="separate"/>
            </w:r>
            <w:r w:rsidR="0012442A">
              <w:rPr>
                <w:noProof/>
              </w:rPr>
              <w:t>3</w:t>
            </w:r>
            <w:r>
              <w:fldChar w:fldCharType="end"/>
            </w:r>
            <w:bookmarkEnd w:id="7"/>
            <w:r>
              <w:t>)</w:t>
            </w:r>
            <w:bookmarkEnd w:id="8"/>
          </w:p>
        </w:tc>
      </w:tr>
    </w:tbl>
    <w:p w14:paraId="4C7772BA" w14:textId="08B592B6" w:rsidR="00193E1D" w:rsidRDefault="00855175" w:rsidP="00927E2E">
      <w:r>
        <w:t>donde LHV</w:t>
      </w:r>
      <w:r w:rsidRPr="00855175">
        <w:rPr>
          <w:vertAlign w:val="subscript"/>
        </w:rPr>
        <w:t>wet,i</w:t>
      </w:r>
      <w:r>
        <w:t xml:space="preserve"> se refiere al resultado de la ecuación </w:t>
      </w:r>
      <w:r>
        <w:fldChar w:fldCharType="begin"/>
      </w:r>
      <w:r>
        <w:instrText xml:space="preserve"> REF _Ref105515943 \h </w:instrText>
      </w:r>
      <w:r>
        <w:fldChar w:fldCharType="separate"/>
      </w:r>
      <w:r>
        <w:t>(</w:t>
      </w:r>
      <w:r>
        <w:rPr>
          <w:noProof/>
        </w:rPr>
        <w:t>1</w:t>
      </w:r>
      <w:r>
        <w:t>)</w:t>
      </w:r>
      <w:r>
        <w:fldChar w:fldCharType="end"/>
      </w:r>
      <w:r>
        <w:t xml:space="preserve"> y p</w:t>
      </w:r>
      <w:r w:rsidRPr="00855175">
        <w:rPr>
          <w:vertAlign w:val="subscript"/>
        </w:rPr>
        <w:t>i</w:t>
      </w:r>
      <w:r>
        <w:t xml:space="preserve"> es la proporción de residuo, ver </w:t>
      </w:r>
      <w:r>
        <w:fldChar w:fldCharType="begin"/>
      </w:r>
      <w:r>
        <w:instrText xml:space="preserve"> REF _Ref105322990 \h </w:instrText>
      </w:r>
      <w:r>
        <w:fldChar w:fldCharType="separate"/>
      </w:r>
      <w:r w:rsidRPr="009C2728">
        <w:t xml:space="preserve">Tabla </w:t>
      </w:r>
      <w:r w:rsidRPr="009C2728">
        <w:rPr>
          <w:noProof/>
        </w:rPr>
        <w:t>1</w:t>
      </w:r>
      <w:r>
        <w:fldChar w:fldCharType="end"/>
      </w:r>
      <w:r>
        <w:t>.</w:t>
      </w:r>
      <w:r w:rsidR="000B7C9A">
        <w:t xml:space="preserve"> </w:t>
      </w:r>
      <w:r w:rsidR="00A54391">
        <w:t xml:space="preserve">Dado que </w:t>
      </w:r>
      <w:r w:rsidR="00837C02">
        <w:t xml:space="preserve">no </w:t>
      </w:r>
      <w:r w:rsidR="009F3412">
        <w:t>se tienen</w:t>
      </w:r>
      <w:r w:rsidR="00837C02">
        <w:t xml:space="preserve"> </w:t>
      </w:r>
      <w:r w:rsidR="009F3412">
        <w:t>registros de</w:t>
      </w:r>
      <w:r w:rsidR="00181597">
        <w:t xml:space="preserve">l poder calorífico de los componentes residuales de la región, </w:t>
      </w:r>
      <w:r w:rsidR="00CF72C7">
        <w:t xml:space="preserve">la estimación se basó </w:t>
      </w:r>
      <w:r w:rsidR="00856CB5">
        <w:t xml:space="preserve">en </w:t>
      </w:r>
      <w:r w:rsidR="005D3A24">
        <w:t xml:space="preserve">la información </w:t>
      </w:r>
      <w:r w:rsidR="00702802">
        <w:t>disponible en</w:t>
      </w:r>
      <w:r w:rsidR="005D3A24">
        <w:t xml:space="preserve"> </w:t>
      </w:r>
      <w:r w:rsidR="00DD27D0">
        <w:t xml:space="preserve">la base de datos de </w:t>
      </w:r>
      <w:r w:rsidR="005D3A24">
        <w:t>Phylis</w:t>
      </w:r>
      <w:r w:rsidR="0034339D">
        <w:t>2</w:t>
      </w:r>
      <w:r w:rsidR="00C571FB">
        <w:t xml:space="preserve"> [26]</w:t>
      </w:r>
      <w:r w:rsidR="00702802">
        <w:t xml:space="preserve">, ver </w:t>
      </w:r>
      <w:r w:rsidR="00C933FA">
        <w:fldChar w:fldCharType="begin"/>
      </w:r>
      <w:r w:rsidR="00C933FA">
        <w:instrText xml:space="preserve"> REF _Ref110262129 \h </w:instrText>
      </w:r>
      <w:r w:rsidR="00C933FA">
        <w:fldChar w:fldCharType="separate"/>
      </w:r>
      <w:r w:rsidR="00C933FA">
        <w:t xml:space="preserve">Tabla </w:t>
      </w:r>
      <w:r w:rsidR="00C933FA">
        <w:rPr>
          <w:noProof/>
        </w:rPr>
        <w:t>3</w:t>
      </w:r>
      <w:r w:rsidR="00C933FA">
        <w:fldChar w:fldCharType="end"/>
      </w:r>
      <w:r w:rsidR="000A6616">
        <w:t xml:space="preserve">, donde se </w:t>
      </w:r>
      <w:r w:rsidR="00244676">
        <w:t>resumen los valores de los parámetros principales</w:t>
      </w:r>
      <w:r w:rsidR="00B2428D">
        <w:t xml:space="preserve">. Al aplicar las ecuaciones </w:t>
      </w:r>
      <w:r w:rsidR="00C571FB">
        <w:t>(</w:t>
      </w:r>
      <w:r w:rsidR="00B2428D">
        <w:fldChar w:fldCharType="begin"/>
      </w:r>
      <w:r w:rsidR="00B2428D">
        <w:instrText xml:space="preserve"> REF _Ref105325506 \h </w:instrText>
      </w:r>
      <w:r w:rsidR="00B2428D">
        <w:fldChar w:fldCharType="separate"/>
      </w:r>
      <w:r w:rsidR="00B2428D">
        <w:rPr>
          <w:noProof/>
        </w:rPr>
        <w:t>1</w:t>
      </w:r>
      <w:r w:rsidR="00B2428D">
        <w:fldChar w:fldCharType="end"/>
      </w:r>
      <w:r w:rsidR="00C571FB">
        <w:t>)</w:t>
      </w:r>
      <w:r w:rsidR="00B2428D">
        <w:fldChar w:fldCharType="begin"/>
      </w:r>
      <w:r w:rsidR="00B2428D">
        <w:instrText xml:space="preserve"> REF _Ref110262227 \h </w:instrText>
      </w:r>
      <w:r w:rsidR="00B2428D">
        <w:fldChar w:fldCharType="separate"/>
      </w:r>
      <w:r w:rsidR="00B2428D">
        <w:t xml:space="preserve"> a </w:t>
      </w:r>
      <w:r w:rsidR="00C571FB">
        <w:t>(</w:t>
      </w:r>
      <w:r w:rsidR="00B2428D">
        <w:rPr>
          <w:noProof/>
        </w:rPr>
        <w:t>3</w:t>
      </w:r>
      <w:r w:rsidR="00B2428D">
        <w:fldChar w:fldCharType="end"/>
      </w:r>
      <w:r w:rsidR="00C571FB">
        <w:t>)</w:t>
      </w:r>
      <w:r w:rsidR="00B2428D">
        <w:t xml:space="preserve"> se obtiene que el LHV</w:t>
      </w:r>
      <w:r w:rsidR="00B2428D" w:rsidRPr="009B3A7A">
        <w:rPr>
          <w:vertAlign w:val="subscript"/>
        </w:rPr>
        <w:t>wet</w:t>
      </w:r>
      <w:r w:rsidR="00B2428D">
        <w:t xml:space="preserve"> es de 10,17 MJ/kg. Este valor, si bien está dentro del rango en el que suele oscilar el LHV</w:t>
      </w:r>
      <w:r w:rsidR="00B2428D" w:rsidRPr="00E33C71">
        <w:rPr>
          <w:vertAlign w:val="subscript"/>
        </w:rPr>
        <w:t>wet</w:t>
      </w:r>
      <w:r w:rsidR="00B2428D">
        <w:t xml:space="preserve"> de los residuos, 7,2 hasta 14,9 MJ/kg </w:t>
      </w:r>
      <w:r w:rsidR="00C571FB">
        <w:t>[27]</w:t>
      </w:r>
      <w:r w:rsidR="00B2428D">
        <w:t>, puede disminuir al llevarse a cabo ensayos de composición másica.</w:t>
      </w:r>
    </w:p>
    <w:p w14:paraId="4F39B7D4" w14:textId="33CBF301" w:rsidR="00CE6BA7" w:rsidRDefault="00CE6BA7" w:rsidP="00B2428D">
      <w:pPr>
        <w:pStyle w:val="TablaTtulo"/>
        <w:spacing w:after="200"/>
      </w:pPr>
      <w:bookmarkStart w:id="9" w:name="_Ref110262129"/>
      <w:r w:rsidRPr="00DA255A">
        <w:rPr>
          <w:sz w:val="18"/>
          <w:szCs w:val="16"/>
        </w:rPr>
        <w:t xml:space="preserve">Tabla </w:t>
      </w:r>
      <w:r w:rsidR="005C0089" w:rsidRPr="00DA255A">
        <w:rPr>
          <w:sz w:val="18"/>
          <w:szCs w:val="16"/>
        </w:rPr>
        <w:fldChar w:fldCharType="begin"/>
      </w:r>
      <w:r w:rsidR="005C0089" w:rsidRPr="00DA255A">
        <w:rPr>
          <w:sz w:val="18"/>
          <w:szCs w:val="16"/>
        </w:rPr>
        <w:instrText xml:space="preserve"> SEQ Tabla \* ARABIC </w:instrText>
      </w:r>
      <w:r w:rsidR="005C0089" w:rsidRPr="00DA255A">
        <w:rPr>
          <w:sz w:val="18"/>
          <w:szCs w:val="16"/>
        </w:rPr>
        <w:fldChar w:fldCharType="separate"/>
      </w:r>
      <w:r w:rsidR="009E6817" w:rsidRPr="00DA255A">
        <w:rPr>
          <w:sz w:val="18"/>
          <w:szCs w:val="16"/>
        </w:rPr>
        <w:t>3</w:t>
      </w:r>
      <w:r w:rsidR="005C0089" w:rsidRPr="00DA255A">
        <w:rPr>
          <w:sz w:val="18"/>
          <w:szCs w:val="16"/>
        </w:rPr>
        <w:fldChar w:fldCharType="end"/>
      </w:r>
      <w:bookmarkEnd w:id="9"/>
      <w:r w:rsidRPr="00DA255A">
        <w:rPr>
          <w:sz w:val="18"/>
          <w:szCs w:val="16"/>
        </w:rPr>
        <w:t xml:space="preserve">. Parámetros </w:t>
      </w:r>
      <w:r w:rsidR="00753409" w:rsidRPr="00DA255A">
        <w:rPr>
          <w:sz w:val="18"/>
          <w:szCs w:val="16"/>
        </w:rPr>
        <w:t>de los componentes de los RSU para estimación de LHV</w:t>
      </w:r>
      <w:r w:rsidR="00665E35" w:rsidRPr="00DA255A">
        <w:rPr>
          <w:sz w:val="18"/>
          <w:szCs w:val="16"/>
        </w:rPr>
        <w:t>wet</w:t>
      </w:r>
      <w:r w:rsidR="00753409" w:rsidRPr="00DA255A">
        <w:rPr>
          <w:sz w:val="18"/>
          <w:szCs w:val="16"/>
        </w:rPr>
        <w:t>.</w:t>
      </w:r>
    </w:p>
    <w:tbl>
      <w:tblPr>
        <w:tblStyle w:val="Tablaconcuadrcula"/>
        <w:tblW w:w="4391" w:type="dxa"/>
        <w:jc w:val="center"/>
        <w:tblLook w:val="04A0" w:firstRow="1" w:lastRow="0" w:firstColumn="1" w:lastColumn="0" w:noHBand="0" w:noVBand="1"/>
      </w:tblPr>
      <w:tblGrid>
        <w:gridCol w:w="1531"/>
        <w:gridCol w:w="1016"/>
        <w:gridCol w:w="850"/>
        <w:gridCol w:w="994"/>
      </w:tblGrid>
      <w:tr w:rsidR="00503345" w14:paraId="57752EE0" w14:textId="33061A25" w:rsidTr="00503345">
        <w:trPr>
          <w:jc w:val="center"/>
        </w:trPr>
        <w:tc>
          <w:tcPr>
            <w:tcW w:w="1531" w:type="dxa"/>
            <w:tcBorders>
              <w:left w:val="single" w:sz="4" w:space="0" w:color="auto"/>
              <w:right w:val="single" w:sz="4" w:space="0" w:color="auto"/>
            </w:tcBorders>
            <w:shd w:val="clear" w:color="auto" w:fill="D9D9D9" w:themeFill="background1" w:themeFillShade="D9"/>
            <w:vAlign w:val="center"/>
          </w:tcPr>
          <w:p w14:paraId="4AFED75A" w14:textId="1AE97EA6" w:rsidR="003C3558" w:rsidRDefault="003C3558">
            <w:pPr>
              <w:jc w:val="left"/>
              <w:rPr>
                <w:noProof/>
                <w:lang w:eastAsia="es-CO"/>
              </w:rPr>
            </w:pPr>
            <w:r>
              <w:rPr>
                <w:noProof/>
                <w:lang w:eastAsia="es-CO"/>
              </w:rPr>
              <w:t>Tipo de residuo</w:t>
            </w:r>
          </w:p>
        </w:tc>
        <w:tc>
          <w:tcPr>
            <w:tcW w:w="1016" w:type="dxa"/>
            <w:tcBorders>
              <w:left w:val="single" w:sz="4" w:space="0" w:color="auto"/>
              <w:right w:val="single" w:sz="4" w:space="0" w:color="auto"/>
            </w:tcBorders>
            <w:shd w:val="clear" w:color="auto" w:fill="D9D9D9" w:themeFill="background1" w:themeFillShade="D9"/>
            <w:vAlign w:val="center"/>
          </w:tcPr>
          <w:p w14:paraId="03DB4DE6" w14:textId="77777777" w:rsidR="003C3558" w:rsidRDefault="003C3558">
            <w:pPr>
              <w:jc w:val="center"/>
            </w:pPr>
            <w:r>
              <w:rPr>
                <w:noProof/>
                <w:lang w:eastAsia="es-CO"/>
              </w:rPr>
              <w:t>HHVdaf</w:t>
            </w:r>
            <w:r w:rsidR="009B01F3" w:rsidRPr="009B01F3">
              <w:rPr>
                <w:noProof/>
                <w:vertAlign w:val="superscript"/>
                <w:lang w:eastAsia="es-CO"/>
              </w:rPr>
              <w:t>1</w:t>
            </w:r>
          </w:p>
          <w:p w14:paraId="2D98713C" w14:textId="73F1B08D" w:rsidR="00223044" w:rsidRPr="00223044" w:rsidRDefault="00223044">
            <w:pPr>
              <w:jc w:val="center"/>
            </w:pPr>
            <w:r>
              <w:t>(MJ/kg)</w:t>
            </w:r>
          </w:p>
        </w:tc>
        <w:tc>
          <w:tcPr>
            <w:tcW w:w="850" w:type="dxa"/>
            <w:tcBorders>
              <w:left w:val="single" w:sz="4" w:space="0" w:color="auto"/>
              <w:right w:val="single" w:sz="4" w:space="0" w:color="auto"/>
            </w:tcBorders>
            <w:shd w:val="clear" w:color="auto" w:fill="D9D9D9" w:themeFill="background1" w:themeFillShade="D9"/>
            <w:vAlign w:val="center"/>
          </w:tcPr>
          <w:p w14:paraId="4C3CE6F5" w14:textId="212A2BA0" w:rsidR="003C3558" w:rsidRDefault="003C3558">
            <w:pPr>
              <w:jc w:val="center"/>
              <w:rPr>
                <w:noProof/>
                <w:lang w:eastAsia="es-CO"/>
              </w:rPr>
            </w:pPr>
            <w:r>
              <w:rPr>
                <w:noProof/>
                <w:lang w:eastAsia="es-CO"/>
              </w:rPr>
              <w:t>Cenizas (Ad)</w:t>
            </w:r>
            <w:r w:rsidR="00AD5C76">
              <w:rPr>
                <w:noProof/>
                <w:lang w:eastAsia="es-CO"/>
              </w:rPr>
              <w:t xml:space="preserve"> (%)</w:t>
            </w:r>
          </w:p>
        </w:tc>
        <w:tc>
          <w:tcPr>
            <w:tcW w:w="994" w:type="dxa"/>
            <w:tcBorders>
              <w:left w:val="single" w:sz="4" w:space="0" w:color="auto"/>
              <w:right w:val="single" w:sz="4" w:space="0" w:color="auto"/>
            </w:tcBorders>
            <w:shd w:val="clear" w:color="auto" w:fill="D9D9D9" w:themeFill="background1" w:themeFillShade="D9"/>
            <w:vAlign w:val="center"/>
          </w:tcPr>
          <w:p w14:paraId="0C25C095" w14:textId="7BA4BEE2" w:rsidR="003C3558" w:rsidRDefault="00A33397" w:rsidP="00A33397">
            <w:pPr>
              <w:jc w:val="center"/>
              <w:rPr>
                <w:noProof/>
                <w:lang w:eastAsia="es-CO"/>
              </w:rPr>
            </w:pPr>
            <w:r>
              <w:rPr>
                <w:noProof/>
                <w:lang w:eastAsia="es-CO"/>
              </w:rPr>
              <w:t xml:space="preserve">Humedad (fw) </w:t>
            </w:r>
            <w:r w:rsidR="00AD5C76">
              <w:rPr>
                <w:noProof/>
                <w:lang w:eastAsia="es-CO"/>
              </w:rPr>
              <w:t>(%)</w:t>
            </w:r>
          </w:p>
        </w:tc>
      </w:tr>
      <w:tr w:rsidR="00497744" w14:paraId="7818BCAE" w14:textId="77777777" w:rsidTr="00503345">
        <w:trPr>
          <w:jc w:val="center"/>
        </w:trPr>
        <w:tc>
          <w:tcPr>
            <w:tcW w:w="1531" w:type="dxa"/>
            <w:tcBorders>
              <w:left w:val="single" w:sz="4" w:space="0" w:color="auto"/>
              <w:right w:val="single" w:sz="4" w:space="0" w:color="auto"/>
            </w:tcBorders>
            <w:shd w:val="clear" w:color="auto" w:fill="auto"/>
          </w:tcPr>
          <w:p w14:paraId="585DFA1F" w14:textId="60CF701E" w:rsidR="00497744" w:rsidRDefault="00497744" w:rsidP="00497744">
            <w:pPr>
              <w:jc w:val="left"/>
              <w:rPr>
                <w:noProof/>
                <w:lang w:eastAsia="es-CO"/>
              </w:rPr>
            </w:pPr>
            <w:r>
              <w:rPr>
                <w:noProof/>
                <w:lang w:eastAsia="es-CO"/>
              </w:rPr>
              <w:t>M</w:t>
            </w:r>
            <w:r w:rsidR="004E6350">
              <w:rPr>
                <w:noProof/>
                <w:lang w:eastAsia="es-CO"/>
              </w:rPr>
              <w:t>.</w:t>
            </w:r>
            <w:r>
              <w:rPr>
                <w:noProof/>
                <w:lang w:eastAsia="es-CO"/>
              </w:rPr>
              <w:t xml:space="preserve"> </w:t>
            </w:r>
            <w:r w:rsidR="005C51F4">
              <w:rPr>
                <w:noProof/>
                <w:lang w:eastAsia="es-CO"/>
              </w:rPr>
              <w:t>O</w:t>
            </w:r>
            <w:r>
              <w:rPr>
                <w:noProof/>
                <w:lang w:eastAsia="es-CO"/>
              </w:rPr>
              <w:t>rgánica</w:t>
            </w:r>
            <w:r w:rsidR="00B03CD3" w:rsidRPr="004E6350">
              <w:rPr>
                <w:noProof/>
                <w:vertAlign w:val="superscript"/>
                <w:lang w:eastAsia="es-CO"/>
              </w:rPr>
              <w:t>[17]</w:t>
            </w:r>
            <w:r>
              <w:rPr>
                <w:noProof/>
                <w:lang w:eastAsia="es-CO"/>
              </w:rPr>
              <w:t xml:space="preserve"> </w:t>
            </w:r>
          </w:p>
        </w:tc>
        <w:tc>
          <w:tcPr>
            <w:tcW w:w="1016" w:type="dxa"/>
            <w:tcBorders>
              <w:left w:val="single" w:sz="4" w:space="0" w:color="auto"/>
              <w:right w:val="single" w:sz="4" w:space="0" w:color="auto"/>
            </w:tcBorders>
            <w:shd w:val="clear" w:color="auto" w:fill="auto"/>
            <w:vAlign w:val="center"/>
          </w:tcPr>
          <w:p w14:paraId="28515B4B" w14:textId="4FFAB372" w:rsidR="00497744" w:rsidRDefault="004B7A85" w:rsidP="00497744">
            <w:pPr>
              <w:jc w:val="center"/>
              <w:rPr>
                <w:noProof/>
                <w:lang w:eastAsia="es-CO"/>
              </w:rPr>
            </w:pPr>
            <w:r>
              <w:rPr>
                <w:noProof/>
                <w:lang w:eastAsia="es-CO"/>
              </w:rPr>
              <w:t>17,00</w:t>
            </w:r>
          </w:p>
        </w:tc>
        <w:tc>
          <w:tcPr>
            <w:tcW w:w="850" w:type="dxa"/>
            <w:tcBorders>
              <w:left w:val="single" w:sz="4" w:space="0" w:color="auto"/>
              <w:right w:val="single" w:sz="4" w:space="0" w:color="auto"/>
            </w:tcBorders>
            <w:shd w:val="clear" w:color="auto" w:fill="auto"/>
            <w:vAlign w:val="center"/>
          </w:tcPr>
          <w:p w14:paraId="54281287" w14:textId="530C0EFD" w:rsidR="00497744" w:rsidRDefault="00BC504F" w:rsidP="00497744">
            <w:pPr>
              <w:jc w:val="center"/>
              <w:rPr>
                <w:noProof/>
                <w:lang w:eastAsia="es-CO"/>
              </w:rPr>
            </w:pPr>
            <w:r>
              <w:rPr>
                <w:noProof/>
                <w:lang w:eastAsia="es-CO"/>
              </w:rPr>
              <w:t>8,70</w:t>
            </w:r>
          </w:p>
        </w:tc>
        <w:tc>
          <w:tcPr>
            <w:tcW w:w="994" w:type="dxa"/>
            <w:tcBorders>
              <w:left w:val="single" w:sz="4" w:space="0" w:color="auto"/>
              <w:right w:val="single" w:sz="4" w:space="0" w:color="auto"/>
            </w:tcBorders>
            <w:shd w:val="clear" w:color="auto" w:fill="auto"/>
            <w:vAlign w:val="center"/>
          </w:tcPr>
          <w:p w14:paraId="205BAD6C" w14:textId="3016516E" w:rsidR="00497744" w:rsidRDefault="004B7A85" w:rsidP="00497744">
            <w:pPr>
              <w:jc w:val="center"/>
              <w:rPr>
                <w:noProof/>
                <w:lang w:eastAsia="es-CO"/>
              </w:rPr>
            </w:pPr>
            <w:r>
              <w:rPr>
                <w:noProof/>
                <w:lang w:eastAsia="es-CO"/>
              </w:rPr>
              <w:t>70</w:t>
            </w:r>
            <w:r w:rsidR="00066CE2">
              <w:rPr>
                <w:noProof/>
                <w:lang w:eastAsia="es-CO"/>
              </w:rPr>
              <w:t>,00</w:t>
            </w:r>
          </w:p>
        </w:tc>
      </w:tr>
      <w:tr w:rsidR="00F3694C" w14:paraId="379D624A" w14:textId="77777777" w:rsidTr="00503345">
        <w:trPr>
          <w:jc w:val="center"/>
        </w:trPr>
        <w:tc>
          <w:tcPr>
            <w:tcW w:w="1531" w:type="dxa"/>
            <w:tcBorders>
              <w:left w:val="single" w:sz="4" w:space="0" w:color="auto"/>
              <w:right w:val="single" w:sz="4" w:space="0" w:color="auto"/>
            </w:tcBorders>
            <w:shd w:val="clear" w:color="auto" w:fill="auto"/>
          </w:tcPr>
          <w:p w14:paraId="2BA9916F" w14:textId="05624E9C" w:rsidR="00F3694C" w:rsidRDefault="00F3694C" w:rsidP="00F3694C">
            <w:pPr>
              <w:jc w:val="left"/>
              <w:rPr>
                <w:noProof/>
                <w:lang w:eastAsia="es-CO"/>
              </w:rPr>
            </w:pPr>
            <w:r>
              <w:rPr>
                <w:noProof/>
                <w:lang w:eastAsia="es-CO"/>
              </w:rPr>
              <w:t>Papel y cartón</w:t>
            </w:r>
          </w:p>
        </w:tc>
        <w:tc>
          <w:tcPr>
            <w:tcW w:w="1016" w:type="dxa"/>
            <w:tcBorders>
              <w:left w:val="single" w:sz="4" w:space="0" w:color="auto"/>
              <w:right w:val="single" w:sz="4" w:space="0" w:color="auto"/>
            </w:tcBorders>
            <w:shd w:val="clear" w:color="auto" w:fill="auto"/>
            <w:vAlign w:val="center"/>
          </w:tcPr>
          <w:p w14:paraId="233D1AB4" w14:textId="2A70C365" w:rsidR="00F3694C" w:rsidRDefault="00505F62" w:rsidP="00F3694C">
            <w:pPr>
              <w:jc w:val="center"/>
              <w:rPr>
                <w:noProof/>
                <w:lang w:eastAsia="es-CO"/>
              </w:rPr>
            </w:pPr>
            <w:r>
              <w:rPr>
                <w:noProof/>
                <w:lang w:eastAsia="es-CO"/>
              </w:rPr>
              <w:t>20,00</w:t>
            </w:r>
          </w:p>
        </w:tc>
        <w:tc>
          <w:tcPr>
            <w:tcW w:w="850" w:type="dxa"/>
            <w:tcBorders>
              <w:left w:val="single" w:sz="4" w:space="0" w:color="auto"/>
              <w:right w:val="single" w:sz="4" w:space="0" w:color="auto"/>
            </w:tcBorders>
            <w:shd w:val="clear" w:color="auto" w:fill="auto"/>
            <w:vAlign w:val="center"/>
          </w:tcPr>
          <w:p w14:paraId="7A363AE3" w14:textId="4495F22A" w:rsidR="00F3694C" w:rsidRDefault="00C122F4" w:rsidP="00F3694C">
            <w:pPr>
              <w:jc w:val="center"/>
              <w:rPr>
                <w:noProof/>
                <w:lang w:eastAsia="es-CO"/>
              </w:rPr>
            </w:pPr>
            <w:r>
              <w:rPr>
                <w:noProof/>
                <w:lang w:eastAsia="es-CO"/>
              </w:rPr>
              <w:t>7,90</w:t>
            </w:r>
          </w:p>
        </w:tc>
        <w:tc>
          <w:tcPr>
            <w:tcW w:w="994" w:type="dxa"/>
            <w:tcBorders>
              <w:left w:val="single" w:sz="4" w:space="0" w:color="auto"/>
              <w:right w:val="single" w:sz="4" w:space="0" w:color="auto"/>
            </w:tcBorders>
            <w:shd w:val="clear" w:color="auto" w:fill="auto"/>
            <w:vAlign w:val="center"/>
          </w:tcPr>
          <w:p w14:paraId="0D7E0BF5" w14:textId="5431B9AB" w:rsidR="00F3694C" w:rsidRDefault="00066CE2" w:rsidP="00F3694C">
            <w:pPr>
              <w:jc w:val="center"/>
              <w:rPr>
                <w:noProof/>
                <w:lang w:eastAsia="es-CO"/>
              </w:rPr>
            </w:pPr>
            <w:r>
              <w:rPr>
                <w:noProof/>
                <w:lang w:eastAsia="es-CO"/>
              </w:rPr>
              <w:t>5,20</w:t>
            </w:r>
          </w:p>
        </w:tc>
      </w:tr>
      <w:tr w:rsidR="00F3694C" w14:paraId="376F738F" w14:textId="77777777" w:rsidTr="00503345">
        <w:trPr>
          <w:jc w:val="center"/>
        </w:trPr>
        <w:tc>
          <w:tcPr>
            <w:tcW w:w="1531" w:type="dxa"/>
            <w:tcBorders>
              <w:left w:val="single" w:sz="4" w:space="0" w:color="auto"/>
              <w:right w:val="single" w:sz="4" w:space="0" w:color="auto"/>
            </w:tcBorders>
            <w:shd w:val="clear" w:color="auto" w:fill="auto"/>
          </w:tcPr>
          <w:p w14:paraId="7CC382E3" w14:textId="276E5AF0" w:rsidR="00F3694C" w:rsidRDefault="00F3694C" w:rsidP="00F3694C">
            <w:pPr>
              <w:jc w:val="left"/>
              <w:rPr>
                <w:noProof/>
                <w:lang w:eastAsia="es-CO"/>
              </w:rPr>
            </w:pPr>
            <w:r>
              <w:rPr>
                <w:noProof/>
                <w:lang w:eastAsia="es-CO"/>
              </w:rPr>
              <w:t>Plásticos</w:t>
            </w:r>
          </w:p>
        </w:tc>
        <w:tc>
          <w:tcPr>
            <w:tcW w:w="1016" w:type="dxa"/>
            <w:tcBorders>
              <w:left w:val="single" w:sz="4" w:space="0" w:color="auto"/>
              <w:right w:val="single" w:sz="4" w:space="0" w:color="auto"/>
            </w:tcBorders>
            <w:shd w:val="clear" w:color="auto" w:fill="auto"/>
            <w:vAlign w:val="center"/>
          </w:tcPr>
          <w:p w14:paraId="7381281C" w14:textId="4A9CC3FB" w:rsidR="00F3694C" w:rsidRDefault="00F3694C" w:rsidP="00F3694C">
            <w:pPr>
              <w:jc w:val="center"/>
              <w:rPr>
                <w:noProof/>
                <w:lang w:eastAsia="es-CO"/>
              </w:rPr>
            </w:pPr>
          </w:p>
        </w:tc>
        <w:tc>
          <w:tcPr>
            <w:tcW w:w="850" w:type="dxa"/>
            <w:tcBorders>
              <w:left w:val="single" w:sz="4" w:space="0" w:color="auto"/>
              <w:right w:val="single" w:sz="4" w:space="0" w:color="auto"/>
            </w:tcBorders>
            <w:shd w:val="clear" w:color="auto" w:fill="auto"/>
            <w:vAlign w:val="center"/>
          </w:tcPr>
          <w:p w14:paraId="3CECBEDF" w14:textId="77777777" w:rsidR="00F3694C" w:rsidRDefault="00F3694C" w:rsidP="00F3694C">
            <w:pPr>
              <w:jc w:val="center"/>
              <w:rPr>
                <w:noProof/>
                <w:lang w:eastAsia="es-CO"/>
              </w:rPr>
            </w:pPr>
          </w:p>
        </w:tc>
        <w:tc>
          <w:tcPr>
            <w:tcW w:w="994" w:type="dxa"/>
            <w:tcBorders>
              <w:left w:val="single" w:sz="4" w:space="0" w:color="auto"/>
              <w:right w:val="single" w:sz="4" w:space="0" w:color="auto"/>
            </w:tcBorders>
            <w:shd w:val="clear" w:color="auto" w:fill="auto"/>
            <w:vAlign w:val="center"/>
          </w:tcPr>
          <w:p w14:paraId="61633EDC" w14:textId="77777777" w:rsidR="00F3694C" w:rsidRDefault="00F3694C" w:rsidP="00F3694C">
            <w:pPr>
              <w:jc w:val="center"/>
              <w:rPr>
                <w:noProof/>
                <w:lang w:eastAsia="es-CO"/>
              </w:rPr>
            </w:pPr>
          </w:p>
        </w:tc>
      </w:tr>
      <w:tr w:rsidR="00503345" w14:paraId="37CF6E02" w14:textId="0C1FC292" w:rsidTr="00503345">
        <w:trPr>
          <w:jc w:val="center"/>
        </w:trPr>
        <w:tc>
          <w:tcPr>
            <w:tcW w:w="1531" w:type="dxa"/>
            <w:tcBorders>
              <w:left w:val="single" w:sz="4" w:space="0" w:color="auto"/>
              <w:right w:val="single" w:sz="4" w:space="0" w:color="auto"/>
            </w:tcBorders>
          </w:tcPr>
          <w:p w14:paraId="45943A77" w14:textId="77777777" w:rsidR="00497744" w:rsidRDefault="00497744" w:rsidP="00F3694C">
            <w:pPr>
              <w:ind w:firstLine="169"/>
              <w:rPr>
                <w:noProof/>
                <w:lang w:eastAsia="es-CO"/>
              </w:rPr>
            </w:pPr>
            <w:r>
              <w:rPr>
                <w:noProof/>
                <w:lang w:eastAsia="es-CO"/>
              </w:rPr>
              <w:t>PET</w:t>
            </w:r>
          </w:p>
        </w:tc>
        <w:tc>
          <w:tcPr>
            <w:tcW w:w="1016" w:type="dxa"/>
            <w:tcBorders>
              <w:left w:val="single" w:sz="4" w:space="0" w:color="auto"/>
              <w:right w:val="single" w:sz="4" w:space="0" w:color="auto"/>
            </w:tcBorders>
          </w:tcPr>
          <w:p w14:paraId="6293C111" w14:textId="7B749508" w:rsidR="00497744" w:rsidRDefault="009C5FDC" w:rsidP="00497744">
            <w:pPr>
              <w:jc w:val="center"/>
              <w:rPr>
                <w:noProof/>
                <w:lang w:eastAsia="es-CO"/>
              </w:rPr>
            </w:pPr>
            <w:r>
              <w:rPr>
                <w:noProof/>
                <w:lang w:eastAsia="es-CO"/>
              </w:rPr>
              <w:t>22,93</w:t>
            </w:r>
          </w:p>
        </w:tc>
        <w:tc>
          <w:tcPr>
            <w:tcW w:w="850" w:type="dxa"/>
            <w:tcBorders>
              <w:left w:val="single" w:sz="4" w:space="0" w:color="auto"/>
              <w:right w:val="single" w:sz="4" w:space="0" w:color="auto"/>
            </w:tcBorders>
          </w:tcPr>
          <w:p w14:paraId="5962A136" w14:textId="427C0B7E" w:rsidR="00497744" w:rsidRDefault="00C122F4" w:rsidP="00497744">
            <w:pPr>
              <w:jc w:val="center"/>
              <w:rPr>
                <w:noProof/>
                <w:lang w:eastAsia="es-CO"/>
              </w:rPr>
            </w:pPr>
            <w:r>
              <w:rPr>
                <w:noProof/>
                <w:lang w:eastAsia="es-CO"/>
              </w:rPr>
              <w:t>0,70</w:t>
            </w:r>
          </w:p>
        </w:tc>
        <w:tc>
          <w:tcPr>
            <w:tcW w:w="994" w:type="dxa"/>
            <w:tcBorders>
              <w:left w:val="single" w:sz="4" w:space="0" w:color="auto"/>
              <w:right w:val="single" w:sz="4" w:space="0" w:color="auto"/>
            </w:tcBorders>
          </w:tcPr>
          <w:p w14:paraId="39781FAD" w14:textId="12ACAC91" w:rsidR="00497744" w:rsidRDefault="00066CE2" w:rsidP="00497744">
            <w:pPr>
              <w:jc w:val="center"/>
              <w:rPr>
                <w:noProof/>
                <w:lang w:eastAsia="es-CO"/>
              </w:rPr>
            </w:pPr>
            <w:r>
              <w:rPr>
                <w:noProof/>
                <w:lang w:eastAsia="es-CO"/>
              </w:rPr>
              <w:t>-</w:t>
            </w:r>
          </w:p>
        </w:tc>
      </w:tr>
      <w:tr w:rsidR="00503345" w14:paraId="7F798300" w14:textId="5AEC629C" w:rsidTr="00503345">
        <w:trPr>
          <w:jc w:val="center"/>
        </w:trPr>
        <w:tc>
          <w:tcPr>
            <w:tcW w:w="1531" w:type="dxa"/>
            <w:tcBorders>
              <w:left w:val="single" w:sz="4" w:space="0" w:color="auto"/>
              <w:right w:val="single" w:sz="4" w:space="0" w:color="auto"/>
            </w:tcBorders>
          </w:tcPr>
          <w:p w14:paraId="2BBC10F4" w14:textId="77777777" w:rsidR="00497744" w:rsidRDefault="00497744" w:rsidP="00F3694C">
            <w:pPr>
              <w:ind w:firstLine="169"/>
              <w:rPr>
                <w:noProof/>
                <w:lang w:eastAsia="es-CO"/>
              </w:rPr>
            </w:pPr>
            <w:r>
              <w:rPr>
                <w:noProof/>
                <w:lang w:eastAsia="es-CO"/>
              </w:rPr>
              <w:t>HDPE</w:t>
            </w:r>
          </w:p>
        </w:tc>
        <w:tc>
          <w:tcPr>
            <w:tcW w:w="1016" w:type="dxa"/>
            <w:tcBorders>
              <w:left w:val="single" w:sz="4" w:space="0" w:color="auto"/>
              <w:right w:val="single" w:sz="4" w:space="0" w:color="auto"/>
            </w:tcBorders>
          </w:tcPr>
          <w:p w14:paraId="68E32C64" w14:textId="53CA309E" w:rsidR="00497744" w:rsidRDefault="00087D48" w:rsidP="00497744">
            <w:pPr>
              <w:jc w:val="center"/>
              <w:rPr>
                <w:noProof/>
                <w:lang w:eastAsia="es-CO"/>
              </w:rPr>
            </w:pPr>
            <w:r>
              <w:rPr>
                <w:noProof/>
                <w:lang w:eastAsia="es-CO"/>
              </w:rPr>
              <w:t>43,12</w:t>
            </w:r>
          </w:p>
        </w:tc>
        <w:tc>
          <w:tcPr>
            <w:tcW w:w="850" w:type="dxa"/>
            <w:tcBorders>
              <w:left w:val="single" w:sz="4" w:space="0" w:color="auto"/>
              <w:right w:val="single" w:sz="4" w:space="0" w:color="auto"/>
            </w:tcBorders>
          </w:tcPr>
          <w:p w14:paraId="6E2AEAAB" w14:textId="42D4083C" w:rsidR="00497744" w:rsidRDefault="00C17FB2" w:rsidP="00497744">
            <w:pPr>
              <w:jc w:val="center"/>
              <w:rPr>
                <w:noProof/>
                <w:lang w:eastAsia="es-CO"/>
              </w:rPr>
            </w:pPr>
            <w:r>
              <w:rPr>
                <w:noProof/>
                <w:lang w:eastAsia="es-CO"/>
              </w:rPr>
              <w:t>0,10</w:t>
            </w:r>
          </w:p>
        </w:tc>
        <w:tc>
          <w:tcPr>
            <w:tcW w:w="994" w:type="dxa"/>
            <w:tcBorders>
              <w:left w:val="single" w:sz="4" w:space="0" w:color="auto"/>
              <w:right w:val="single" w:sz="4" w:space="0" w:color="auto"/>
            </w:tcBorders>
          </w:tcPr>
          <w:p w14:paraId="398FEBF7" w14:textId="7559CA1A" w:rsidR="00497744" w:rsidRDefault="00AF4E5F" w:rsidP="00497744">
            <w:pPr>
              <w:jc w:val="center"/>
              <w:rPr>
                <w:noProof/>
                <w:lang w:eastAsia="es-CO"/>
              </w:rPr>
            </w:pPr>
            <w:r>
              <w:rPr>
                <w:noProof/>
                <w:lang w:eastAsia="es-CO"/>
              </w:rPr>
              <w:t>0,20</w:t>
            </w:r>
          </w:p>
        </w:tc>
      </w:tr>
      <w:tr w:rsidR="00503345" w14:paraId="7DC72B2E" w14:textId="2849C9A0" w:rsidTr="00503345">
        <w:trPr>
          <w:jc w:val="center"/>
        </w:trPr>
        <w:tc>
          <w:tcPr>
            <w:tcW w:w="1531" w:type="dxa"/>
            <w:tcBorders>
              <w:left w:val="single" w:sz="4" w:space="0" w:color="auto"/>
              <w:right w:val="single" w:sz="4" w:space="0" w:color="auto"/>
            </w:tcBorders>
          </w:tcPr>
          <w:p w14:paraId="73A391F4" w14:textId="77777777" w:rsidR="00497744" w:rsidRDefault="00497744" w:rsidP="00F3694C">
            <w:pPr>
              <w:ind w:firstLine="169"/>
              <w:rPr>
                <w:noProof/>
                <w:lang w:eastAsia="es-CO"/>
              </w:rPr>
            </w:pPr>
            <w:r>
              <w:rPr>
                <w:noProof/>
                <w:lang w:eastAsia="es-CO"/>
              </w:rPr>
              <w:t>PVC</w:t>
            </w:r>
          </w:p>
        </w:tc>
        <w:tc>
          <w:tcPr>
            <w:tcW w:w="1016" w:type="dxa"/>
            <w:tcBorders>
              <w:left w:val="single" w:sz="4" w:space="0" w:color="auto"/>
              <w:right w:val="single" w:sz="4" w:space="0" w:color="auto"/>
            </w:tcBorders>
          </w:tcPr>
          <w:p w14:paraId="652340B0" w14:textId="6E544A49" w:rsidR="00497744" w:rsidRDefault="00087D48" w:rsidP="00497744">
            <w:pPr>
              <w:jc w:val="center"/>
              <w:rPr>
                <w:noProof/>
                <w:lang w:eastAsia="es-CO"/>
              </w:rPr>
            </w:pPr>
            <w:r>
              <w:rPr>
                <w:noProof/>
                <w:lang w:eastAsia="es-CO"/>
              </w:rPr>
              <w:t>21,11</w:t>
            </w:r>
          </w:p>
        </w:tc>
        <w:tc>
          <w:tcPr>
            <w:tcW w:w="850" w:type="dxa"/>
            <w:tcBorders>
              <w:left w:val="single" w:sz="4" w:space="0" w:color="auto"/>
              <w:right w:val="single" w:sz="4" w:space="0" w:color="auto"/>
            </w:tcBorders>
          </w:tcPr>
          <w:p w14:paraId="1475944E" w14:textId="505AED3F" w:rsidR="00497744" w:rsidRDefault="00C17FB2" w:rsidP="00497744">
            <w:pPr>
              <w:jc w:val="center"/>
              <w:rPr>
                <w:noProof/>
                <w:lang w:eastAsia="es-CO"/>
              </w:rPr>
            </w:pPr>
            <w:r>
              <w:rPr>
                <w:noProof/>
                <w:lang w:eastAsia="es-CO"/>
              </w:rPr>
              <w:t>0,10</w:t>
            </w:r>
          </w:p>
        </w:tc>
        <w:tc>
          <w:tcPr>
            <w:tcW w:w="994" w:type="dxa"/>
            <w:tcBorders>
              <w:left w:val="single" w:sz="4" w:space="0" w:color="auto"/>
              <w:right w:val="single" w:sz="4" w:space="0" w:color="auto"/>
            </w:tcBorders>
          </w:tcPr>
          <w:p w14:paraId="31C8D525" w14:textId="07671003" w:rsidR="00497744" w:rsidRDefault="00AF4E5F" w:rsidP="00497744">
            <w:pPr>
              <w:jc w:val="center"/>
              <w:rPr>
                <w:noProof/>
                <w:lang w:eastAsia="es-CO"/>
              </w:rPr>
            </w:pPr>
            <w:r>
              <w:rPr>
                <w:noProof/>
                <w:lang w:eastAsia="es-CO"/>
              </w:rPr>
              <w:t>0,20</w:t>
            </w:r>
          </w:p>
        </w:tc>
      </w:tr>
      <w:tr w:rsidR="00503345" w14:paraId="6B7CC501" w14:textId="77FB7615" w:rsidTr="00503345">
        <w:trPr>
          <w:jc w:val="center"/>
        </w:trPr>
        <w:tc>
          <w:tcPr>
            <w:tcW w:w="1531" w:type="dxa"/>
            <w:tcBorders>
              <w:left w:val="single" w:sz="4" w:space="0" w:color="auto"/>
              <w:right w:val="single" w:sz="4" w:space="0" w:color="auto"/>
            </w:tcBorders>
          </w:tcPr>
          <w:p w14:paraId="5CD0826A" w14:textId="77777777" w:rsidR="00497744" w:rsidRDefault="00497744" w:rsidP="00F3694C">
            <w:pPr>
              <w:ind w:firstLine="169"/>
              <w:rPr>
                <w:noProof/>
                <w:lang w:eastAsia="es-CO"/>
              </w:rPr>
            </w:pPr>
            <w:r>
              <w:rPr>
                <w:noProof/>
                <w:lang w:eastAsia="es-CO"/>
              </w:rPr>
              <w:t>LDPE</w:t>
            </w:r>
          </w:p>
        </w:tc>
        <w:tc>
          <w:tcPr>
            <w:tcW w:w="1016" w:type="dxa"/>
            <w:tcBorders>
              <w:left w:val="single" w:sz="4" w:space="0" w:color="auto"/>
              <w:right w:val="single" w:sz="4" w:space="0" w:color="auto"/>
            </w:tcBorders>
          </w:tcPr>
          <w:p w14:paraId="4627FC57" w14:textId="4DABD4D1" w:rsidR="00497744" w:rsidRDefault="00087D48" w:rsidP="00497744">
            <w:pPr>
              <w:jc w:val="center"/>
              <w:rPr>
                <w:noProof/>
                <w:lang w:eastAsia="es-CO"/>
              </w:rPr>
            </w:pPr>
            <w:r>
              <w:rPr>
                <w:noProof/>
                <w:lang w:eastAsia="es-CO"/>
              </w:rPr>
              <w:t>46,02</w:t>
            </w:r>
          </w:p>
        </w:tc>
        <w:tc>
          <w:tcPr>
            <w:tcW w:w="850" w:type="dxa"/>
            <w:tcBorders>
              <w:left w:val="single" w:sz="4" w:space="0" w:color="auto"/>
              <w:right w:val="single" w:sz="4" w:space="0" w:color="auto"/>
            </w:tcBorders>
          </w:tcPr>
          <w:p w14:paraId="07087BA9" w14:textId="737AF085" w:rsidR="00497744" w:rsidRDefault="00C17FB2" w:rsidP="00497744">
            <w:pPr>
              <w:jc w:val="center"/>
              <w:rPr>
                <w:noProof/>
                <w:lang w:eastAsia="es-CO"/>
              </w:rPr>
            </w:pPr>
            <w:r>
              <w:rPr>
                <w:noProof/>
                <w:lang w:eastAsia="es-CO"/>
              </w:rPr>
              <w:t>0,10</w:t>
            </w:r>
          </w:p>
        </w:tc>
        <w:tc>
          <w:tcPr>
            <w:tcW w:w="994" w:type="dxa"/>
            <w:tcBorders>
              <w:left w:val="single" w:sz="4" w:space="0" w:color="auto"/>
              <w:right w:val="single" w:sz="4" w:space="0" w:color="auto"/>
            </w:tcBorders>
          </w:tcPr>
          <w:p w14:paraId="04EDF526" w14:textId="494D947D" w:rsidR="00497744" w:rsidRDefault="00AF4E5F" w:rsidP="00497744">
            <w:pPr>
              <w:jc w:val="center"/>
              <w:rPr>
                <w:noProof/>
                <w:lang w:eastAsia="es-CO"/>
              </w:rPr>
            </w:pPr>
            <w:r>
              <w:rPr>
                <w:noProof/>
                <w:lang w:eastAsia="es-CO"/>
              </w:rPr>
              <w:t>0,10</w:t>
            </w:r>
          </w:p>
        </w:tc>
      </w:tr>
      <w:tr w:rsidR="00503345" w14:paraId="5C9B734B" w14:textId="6E39B8E8" w:rsidTr="00503345">
        <w:trPr>
          <w:jc w:val="center"/>
        </w:trPr>
        <w:tc>
          <w:tcPr>
            <w:tcW w:w="1531" w:type="dxa"/>
            <w:tcBorders>
              <w:left w:val="single" w:sz="4" w:space="0" w:color="auto"/>
              <w:right w:val="single" w:sz="4" w:space="0" w:color="auto"/>
            </w:tcBorders>
          </w:tcPr>
          <w:p w14:paraId="2C9EA390" w14:textId="77777777" w:rsidR="00497744" w:rsidRDefault="00497744" w:rsidP="00F3694C">
            <w:pPr>
              <w:ind w:firstLine="169"/>
              <w:rPr>
                <w:noProof/>
                <w:lang w:eastAsia="es-CO"/>
              </w:rPr>
            </w:pPr>
            <w:r>
              <w:rPr>
                <w:noProof/>
                <w:lang w:eastAsia="es-CO"/>
              </w:rPr>
              <w:t>PP</w:t>
            </w:r>
          </w:p>
        </w:tc>
        <w:tc>
          <w:tcPr>
            <w:tcW w:w="1016" w:type="dxa"/>
            <w:tcBorders>
              <w:left w:val="single" w:sz="4" w:space="0" w:color="auto"/>
              <w:right w:val="single" w:sz="4" w:space="0" w:color="auto"/>
            </w:tcBorders>
          </w:tcPr>
          <w:p w14:paraId="5CF589E0" w14:textId="543FAC54" w:rsidR="00497744" w:rsidRDefault="00087D48" w:rsidP="00497744">
            <w:pPr>
              <w:jc w:val="center"/>
              <w:rPr>
                <w:noProof/>
                <w:lang w:eastAsia="es-CO"/>
              </w:rPr>
            </w:pPr>
            <w:r>
              <w:rPr>
                <w:noProof/>
                <w:lang w:eastAsia="es-CO"/>
              </w:rPr>
              <w:t>47,76</w:t>
            </w:r>
          </w:p>
        </w:tc>
        <w:tc>
          <w:tcPr>
            <w:tcW w:w="850" w:type="dxa"/>
            <w:tcBorders>
              <w:left w:val="single" w:sz="4" w:space="0" w:color="auto"/>
              <w:right w:val="single" w:sz="4" w:space="0" w:color="auto"/>
            </w:tcBorders>
          </w:tcPr>
          <w:p w14:paraId="52B749EA" w14:textId="07411F37" w:rsidR="00497744" w:rsidRDefault="007B2ED6" w:rsidP="00497744">
            <w:pPr>
              <w:jc w:val="center"/>
              <w:rPr>
                <w:noProof/>
                <w:lang w:eastAsia="es-CO"/>
              </w:rPr>
            </w:pPr>
            <w:r>
              <w:rPr>
                <w:noProof/>
                <w:lang w:eastAsia="es-CO"/>
              </w:rPr>
              <w:t>2,20</w:t>
            </w:r>
          </w:p>
        </w:tc>
        <w:tc>
          <w:tcPr>
            <w:tcW w:w="994" w:type="dxa"/>
            <w:tcBorders>
              <w:left w:val="single" w:sz="4" w:space="0" w:color="auto"/>
              <w:right w:val="single" w:sz="4" w:space="0" w:color="auto"/>
            </w:tcBorders>
          </w:tcPr>
          <w:p w14:paraId="37778E79" w14:textId="4D3F3D13" w:rsidR="00497744" w:rsidRDefault="00AF4E5F" w:rsidP="00497744">
            <w:pPr>
              <w:jc w:val="center"/>
              <w:rPr>
                <w:noProof/>
                <w:lang w:eastAsia="es-CO"/>
              </w:rPr>
            </w:pPr>
            <w:r>
              <w:rPr>
                <w:noProof/>
                <w:lang w:eastAsia="es-CO"/>
              </w:rPr>
              <w:t>0,10</w:t>
            </w:r>
          </w:p>
        </w:tc>
      </w:tr>
      <w:tr w:rsidR="00503345" w14:paraId="35C1A0D5" w14:textId="3F39941B" w:rsidTr="00503345">
        <w:trPr>
          <w:jc w:val="center"/>
        </w:trPr>
        <w:tc>
          <w:tcPr>
            <w:tcW w:w="1531" w:type="dxa"/>
            <w:tcBorders>
              <w:left w:val="single" w:sz="4" w:space="0" w:color="auto"/>
              <w:right w:val="single" w:sz="4" w:space="0" w:color="auto"/>
            </w:tcBorders>
          </w:tcPr>
          <w:p w14:paraId="52A2E38E" w14:textId="77777777" w:rsidR="00497744" w:rsidRDefault="00497744" w:rsidP="00F3694C">
            <w:pPr>
              <w:ind w:firstLine="169"/>
              <w:rPr>
                <w:noProof/>
                <w:lang w:eastAsia="es-CO"/>
              </w:rPr>
            </w:pPr>
            <w:r>
              <w:rPr>
                <w:noProof/>
                <w:lang w:eastAsia="es-CO"/>
              </w:rPr>
              <w:t>PS</w:t>
            </w:r>
          </w:p>
        </w:tc>
        <w:tc>
          <w:tcPr>
            <w:tcW w:w="1016" w:type="dxa"/>
            <w:tcBorders>
              <w:left w:val="single" w:sz="4" w:space="0" w:color="auto"/>
              <w:right w:val="single" w:sz="4" w:space="0" w:color="auto"/>
            </w:tcBorders>
          </w:tcPr>
          <w:p w14:paraId="4E009A39" w14:textId="08C28406" w:rsidR="00497744" w:rsidRDefault="00087D48" w:rsidP="00497744">
            <w:pPr>
              <w:jc w:val="center"/>
              <w:rPr>
                <w:noProof/>
                <w:lang w:eastAsia="es-CO"/>
              </w:rPr>
            </w:pPr>
            <w:r>
              <w:rPr>
                <w:noProof/>
                <w:lang w:eastAsia="es-CO"/>
              </w:rPr>
              <w:t>41,81</w:t>
            </w:r>
          </w:p>
        </w:tc>
        <w:tc>
          <w:tcPr>
            <w:tcW w:w="850" w:type="dxa"/>
            <w:tcBorders>
              <w:left w:val="single" w:sz="4" w:space="0" w:color="auto"/>
              <w:right w:val="single" w:sz="4" w:space="0" w:color="auto"/>
            </w:tcBorders>
          </w:tcPr>
          <w:p w14:paraId="08295C2B" w14:textId="7236F8AF" w:rsidR="00497744" w:rsidRDefault="00C17FB2" w:rsidP="00497744">
            <w:pPr>
              <w:jc w:val="center"/>
              <w:rPr>
                <w:noProof/>
                <w:lang w:eastAsia="es-CO"/>
              </w:rPr>
            </w:pPr>
            <w:r>
              <w:rPr>
                <w:noProof/>
                <w:lang w:eastAsia="es-CO"/>
              </w:rPr>
              <w:t>2,</w:t>
            </w:r>
            <w:r w:rsidR="007B2ED6">
              <w:rPr>
                <w:noProof/>
                <w:lang w:eastAsia="es-CO"/>
              </w:rPr>
              <w:t>9</w:t>
            </w:r>
            <w:r>
              <w:rPr>
                <w:noProof/>
                <w:lang w:eastAsia="es-CO"/>
              </w:rPr>
              <w:t>0</w:t>
            </w:r>
          </w:p>
        </w:tc>
        <w:tc>
          <w:tcPr>
            <w:tcW w:w="994" w:type="dxa"/>
            <w:tcBorders>
              <w:left w:val="single" w:sz="4" w:space="0" w:color="auto"/>
              <w:right w:val="single" w:sz="4" w:space="0" w:color="auto"/>
            </w:tcBorders>
          </w:tcPr>
          <w:p w14:paraId="1EF3AD65" w14:textId="3FB101B4" w:rsidR="00497744" w:rsidRDefault="00AF4E5F" w:rsidP="00497744">
            <w:pPr>
              <w:jc w:val="center"/>
              <w:rPr>
                <w:noProof/>
                <w:lang w:eastAsia="es-CO"/>
              </w:rPr>
            </w:pPr>
            <w:r>
              <w:rPr>
                <w:noProof/>
                <w:lang w:eastAsia="es-CO"/>
              </w:rPr>
              <w:t>0,10</w:t>
            </w:r>
          </w:p>
        </w:tc>
      </w:tr>
      <w:tr w:rsidR="0034165A" w14:paraId="6C56350D" w14:textId="77777777" w:rsidTr="00503345">
        <w:trPr>
          <w:jc w:val="center"/>
        </w:trPr>
        <w:tc>
          <w:tcPr>
            <w:tcW w:w="1531" w:type="dxa"/>
            <w:tcBorders>
              <w:left w:val="single" w:sz="4" w:space="0" w:color="auto"/>
              <w:right w:val="single" w:sz="4" w:space="0" w:color="auto"/>
            </w:tcBorders>
          </w:tcPr>
          <w:p w14:paraId="0D1E602F" w14:textId="4A9168A1" w:rsidR="0034165A" w:rsidRDefault="0034165A" w:rsidP="0034165A">
            <w:pPr>
              <w:rPr>
                <w:noProof/>
                <w:lang w:eastAsia="es-CO"/>
              </w:rPr>
            </w:pPr>
            <w:r>
              <w:rPr>
                <w:noProof/>
                <w:lang w:eastAsia="es-CO"/>
              </w:rPr>
              <w:t>Madera</w:t>
            </w:r>
          </w:p>
        </w:tc>
        <w:tc>
          <w:tcPr>
            <w:tcW w:w="1016" w:type="dxa"/>
            <w:tcBorders>
              <w:left w:val="single" w:sz="4" w:space="0" w:color="auto"/>
              <w:right w:val="single" w:sz="4" w:space="0" w:color="auto"/>
            </w:tcBorders>
          </w:tcPr>
          <w:p w14:paraId="615C9BDA" w14:textId="2D907E87" w:rsidR="0034165A" w:rsidRDefault="00087D48" w:rsidP="0034165A">
            <w:pPr>
              <w:jc w:val="center"/>
              <w:rPr>
                <w:noProof/>
                <w:lang w:eastAsia="es-CO"/>
              </w:rPr>
            </w:pPr>
            <w:r>
              <w:rPr>
                <w:noProof/>
                <w:lang w:eastAsia="es-CO"/>
              </w:rPr>
              <w:t>20,4</w:t>
            </w:r>
            <w:r w:rsidR="003C7116">
              <w:rPr>
                <w:noProof/>
                <w:lang w:eastAsia="es-CO"/>
              </w:rPr>
              <w:t>0</w:t>
            </w:r>
          </w:p>
        </w:tc>
        <w:tc>
          <w:tcPr>
            <w:tcW w:w="850" w:type="dxa"/>
            <w:tcBorders>
              <w:left w:val="single" w:sz="4" w:space="0" w:color="auto"/>
              <w:right w:val="single" w:sz="4" w:space="0" w:color="auto"/>
            </w:tcBorders>
          </w:tcPr>
          <w:p w14:paraId="38D3DD8D" w14:textId="7E2FA31A" w:rsidR="0034165A" w:rsidRDefault="00FF5FDD" w:rsidP="0034165A">
            <w:pPr>
              <w:jc w:val="center"/>
              <w:rPr>
                <w:noProof/>
                <w:lang w:eastAsia="es-CO"/>
              </w:rPr>
            </w:pPr>
            <w:r>
              <w:rPr>
                <w:noProof/>
                <w:lang w:eastAsia="es-CO"/>
              </w:rPr>
              <w:t>6,92</w:t>
            </w:r>
          </w:p>
        </w:tc>
        <w:tc>
          <w:tcPr>
            <w:tcW w:w="994" w:type="dxa"/>
            <w:tcBorders>
              <w:left w:val="single" w:sz="4" w:space="0" w:color="auto"/>
              <w:right w:val="single" w:sz="4" w:space="0" w:color="auto"/>
            </w:tcBorders>
          </w:tcPr>
          <w:p w14:paraId="32E73E85" w14:textId="58895FA7" w:rsidR="0034165A" w:rsidRDefault="00AF4E5F" w:rsidP="0034165A">
            <w:pPr>
              <w:jc w:val="center"/>
              <w:rPr>
                <w:noProof/>
                <w:lang w:eastAsia="es-CO"/>
              </w:rPr>
            </w:pPr>
            <w:r>
              <w:rPr>
                <w:noProof/>
                <w:lang w:eastAsia="es-CO"/>
              </w:rPr>
              <w:t>10,22</w:t>
            </w:r>
          </w:p>
        </w:tc>
      </w:tr>
      <w:tr w:rsidR="0034165A" w14:paraId="12D157DF" w14:textId="77777777" w:rsidTr="00503345">
        <w:trPr>
          <w:jc w:val="center"/>
        </w:trPr>
        <w:tc>
          <w:tcPr>
            <w:tcW w:w="1531" w:type="dxa"/>
            <w:tcBorders>
              <w:left w:val="single" w:sz="4" w:space="0" w:color="auto"/>
              <w:right w:val="single" w:sz="4" w:space="0" w:color="auto"/>
            </w:tcBorders>
          </w:tcPr>
          <w:p w14:paraId="17527295" w14:textId="4767B72A" w:rsidR="0034165A" w:rsidRDefault="0034165A" w:rsidP="0034165A">
            <w:pPr>
              <w:rPr>
                <w:noProof/>
                <w:lang w:eastAsia="es-CO"/>
              </w:rPr>
            </w:pPr>
            <w:r>
              <w:rPr>
                <w:noProof/>
                <w:lang w:eastAsia="es-CO"/>
              </w:rPr>
              <w:t>Vidrio</w:t>
            </w:r>
          </w:p>
        </w:tc>
        <w:tc>
          <w:tcPr>
            <w:tcW w:w="1016" w:type="dxa"/>
            <w:tcBorders>
              <w:left w:val="single" w:sz="4" w:space="0" w:color="auto"/>
              <w:right w:val="single" w:sz="4" w:space="0" w:color="auto"/>
            </w:tcBorders>
          </w:tcPr>
          <w:p w14:paraId="51028DC7" w14:textId="5C9AAF95" w:rsidR="0034165A" w:rsidRDefault="00770EBB" w:rsidP="0034165A">
            <w:pPr>
              <w:jc w:val="center"/>
              <w:rPr>
                <w:noProof/>
                <w:lang w:eastAsia="es-CO"/>
              </w:rPr>
            </w:pPr>
            <w:r>
              <w:rPr>
                <w:noProof/>
                <w:lang w:eastAsia="es-CO"/>
              </w:rPr>
              <w:t>-</w:t>
            </w:r>
          </w:p>
        </w:tc>
        <w:tc>
          <w:tcPr>
            <w:tcW w:w="850" w:type="dxa"/>
            <w:tcBorders>
              <w:left w:val="single" w:sz="4" w:space="0" w:color="auto"/>
              <w:right w:val="single" w:sz="4" w:space="0" w:color="auto"/>
            </w:tcBorders>
          </w:tcPr>
          <w:p w14:paraId="6A05E85A" w14:textId="0491092C" w:rsidR="0034165A" w:rsidRDefault="00FF5FDD" w:rsidP="0034165A">
            <w:pPr>
              <w:jc w:val="center"/>
              <w:rPr>
                <w:noProof/>
                <w:lang w:eastAsia="es-CO"/>
              </w:rPr>
            </w:pPr>
            <w:r>
              <w:rPr>
                <w:noProof/>
                <w:lang w:eastAsia="es-CO"/>
              </w:rPr>
              <w:t>-</w:t>
            </w:r>
          </w:p>
        </w:tc>
        <w:tc>
          <w:tcPr>
            <w:tcW w:w="994" w:type="dxa"/>
            <w:tcBorders>
              <w:left w:val="single" w:sz="4" w:space="0" w:color="auto"/>
              <w:right w:val="single" w:sz="4" w:space="0" w:color="auto"/>
            </w:tcBorders>
          </w:tcPr>
          <w:p w14:paraId="7FAFB575" w14:textId="682A36C0" w:rsidR="0034165A" w:rsidRDefault="00462D67" w:rsidP="0034165A">
            <w:pPr>
              <w:jc w:val="center"/>
              <w:rPr>
                <w:noProof/>
                <w:lang w:eastAsia="es-CO"/>
              </w:rPr>
            </w:pPr>
            <w:r>
              <w:rPr>
                <w:noProof/>
                <w:lang w:eastAsia="es-CO"/>
              </w:rPr>
              <w:t>3,00</w:t>
            </w:r>
          </w:p>
        </w:tc>
      </w:tr>
      <w:tr w:rsidR="0034165A" w14:paraId="74549B87" w14:textId="77777777" w:rsidTr="00503345">
        <w:trPr>
          <w:jc w:val="center"/>
        </w:trPr>
        <w:tc>
          <w:tcPr>
            <w:tcW w:w="1531" w:type="dxa"/>
            <w:tcBorders>
              <w:left w:val="single" w:sz="4" w:space="0" w:color="auto"/>
              <w:right w:val="single" w:sz="4" w:space="0" w:color="auto"/>
            </w:tcBorders>
          </w:tcPr>
          <w:p w14:paraId="751604FC" w14:textId="70EA9574" w:rsidR="0034165A" w:rsidRDefault="0034165A" w:rsidP="0034165A">
            <w:pPr>
              <w:rPr>
                <w:noProof/>
                <w:lang w:eastAsia="es-CO"/>
              </w:rPr>
            </w:pPr>
            <w:r>
              <w:rPr>
                <w:noProof/>
                <w:lang w:eastAsia="es-CO"/>
              </w:rPr>
              <w:t>Metales</w:t>
            </w:r>
          </w:p>
        </w:tc>
        <w:tc>
          <w:tcPr>
            <w:tcW w:w="1016" w:type="dxa"/>
            <w:tcBorders>
              <w:left w:val="single" w:sz="4" w:space="0" w:color="auto"/>
              <w:right w:val="single" w:sz="4" w:space="0" w:color="auto"/>
            </w:tcBorders>
          </w:tcPr>
          <w:p w14:paraId="68CA2218" w14:textId="354ED81F" w:rsidR="0034165A" w:rsidRDefault="00770EBB" w:rsidP="0034165A">
            <w:pPr>
              <w:jc w:val="center"/>
              <w:rPr>
                <w:noProof/>
                <w:lang w:eastAsia="es-CO"/>
              </w:rPr>
            </w:pPr>
            <w:r>
              <w:rPr>
                <w:noProof/>
                <w:lang w:eastAsia="es-CO"/>
              </w:rPr>
              <w:t>-</w:t>
            </w:r>
          </w:p>
        </w:tc>
        <w:tc>
          <w:tcPr>
            <w:tcW w:w="850" w:type="dxa"/>
            <w:tcBorders>
              <w:left w:val="single" w:sz="4" w:space="0" w:color="auto"/>
              <w:right w:val="single" w:sz="4" w:space="0" w:color="auto"/>
            </w:tcBorders>
          </w:tcPr>
          <w:p w14:paraId="2D8AD7F3" w14:textId="4B197FAD" w:rsidR="0034165A" w:rsidRDefault="00FF5FDD" w:rsidP="0034165A">
            <w:pPr>
              <w:jc w:val="center"/>
              <w:rPr>
                <w:noProof/>
                <w:lang w:eastAsia="es-CO"/>
              </w:rPr>
            </w:pPr>
            <w:r>
              <w:rPr>
                <w:noProof/>
                <w:lang w:eastAsia="es-CO"/>
              </w:rPr>
              <w:t>-</w:t>
            </w:r>
          </w:p>
        </w:tc>
        <w:tc>
          <w:tcPr>
            <w:tcW w:w="994" w:type="dxa"/>
            <w:tcBorders>
              <w:left w:val="single" w:sz="4" w:space="0" w:color="auto"/>
              <w:right w:val="single" w:sz="4" w:space="0" w:color="auto"/>
            </w:tcBorders>
          </w:tcPr>
          <w:p w14:paraId="428B47F7" w14:textId="399425FC" w:rsidR="0034165A" w:rsidRDefault="00462D67" w:rsidP="0034165A">
            <w:pPr>
              <w:jc w:val="center"/>
              <w:rPr>
                <w:noProof/>
                <w:lang w:eastAsia="es-CO"/>
              </w:rPr>
            </w:pPr>
            <w:r>
              <w:rPr>
                <w:noProof/>
                <w:lang w:eastAsia="es-CO"/>
              </w:rPr>
              <w:t>6,00</w:t>
            </w:r>
          </w:p>
        </w:tc>
      </w:tr>
      <w:tr w:rsidR="0034165A" w14:paraId="09011967" w14:textId="77777777" w:rsidTr="00503345">
        <w:trPr>
          <w:jc w:val="center"/>
        </w:trPr>
        <w:tc>
          <w:tcPr>
            <w:tcW w:w="1531" w:type="dxa"/>
            <w:tcBorders>
              <w:left w:val="single" w:sz="4" w:space="0" w:color="auto"/>
              <w:right w:val="single" w:sz="4" w:space="0" w:color="auto"/>
            </w:tcBorders>
          </w:tcPr>
          <w:p w14:paraId="19882C57" w14:textId="7AD6F906" w:rsidR="0034165A" w:rsidRDefault="0034165A" w:rsidP="0034165A">
            <w:pPr>
              <w:rPr>
                <w:noProof/>
                <w:lang w:eastAsia="es-CO"/>
              </w:rPr>
            </w:pPr>
            <w:r>
              <w:rPr>
                <w:noProof/>
                <w:lang w:eastAsia="es-CO"/>
              </w:rPr>
              <w:t>Cuero y textiles</w:t>
            </w:r>
          </w:p>
        </w:tc>
        <w:tc>
          <w:tcPr>
            <w:tcW w:w="1016" w:type="dxa"/>
            <w:tcBorders>
              <w:left w:val="single" w:sz="4" w:space="0" w:color="auto"/>
              <w:right w:val="single" w:sz="4" w:space="0" w:color="auto"/>
            </w:tcBorders>
          </w:tcPr>
          <w:p w14:paraId="1819D3D5" w14:textId="45667F62" w:rsidR="0034165A" w:rsidRDefault="00087D48" w:rsidP="0034165A">
            <w:pPr>
              <w:jc w:val="center"/>
              <w:rPr>
                <w:noProof/>
                <w:lang w:eastAsia="es-CO"/>
              </w:rPr>
            </w:pPr>
            <w:r>
              <w:rPr>
                <w:noProof/>
                <w:lang w:eastAsia="es-CO"/>
              </w:rPr>
              <w:t>19,58</w:t>
            </w:r>
          </w:p>
        </w:tc>
        <w:tc>
          <w:tcPr>
            <w:tcW w:w="850" w:type="dxa"/>
            <w:tcBorders>
              <w:left w:val="single" w:sz="4" w:space="0" w:color="auto"/>
              <w:right w:val="single" w:sz="4" w:space="0" w:color="auto"/>
            </w:tcBorders>
          </w:tcPr>
          <w:p w14:paraId="31E05E22" w14:textId="76D6CF47" w:rsidR="0034165A" w:rsidRDefault="00FF5FDD" w:rsidP="0034165A">
            <w:pPr>
              <w:jc w:val="center"/>
              <w:rPr>
                <w:noProof/>
                <w:lang w:eastAsia="es-CO"/>
              </w:rPr>
            </w:pPr>
            <w:r>
              <w:rPr>
                <w:noProof/>
                <w:lang w:eastAsia="es-CO"/>
              </w:rPr>
              <w:t>5,80</w:t>
            </w:r>
          </w:p>
        </w:tc>
        <w:tc>
          <w:tcPr>
            <w:tcW w:w="994" w:type="dxa"/>
            <w:tcBorders>
              <w:left w:val="single" w:sz="4" w:space="0" w:color="auto"/>
              <w:right w:val="single" w:sz="4" w:space="0" w:color="auto"/>
            </w:tcBorders>
          </w:tcPr>
          <w:p w14:paraId="07880A55" w14:textId="421FF847" w:rsidR="0034165A" w:rsidRDefault="00462D67" w:rsidP="0034165A">
            <w:pPr>
              <w:jc w:val="center"/>
              <w:rPr>
                <w:noProof/>
                <w:lang w:eastAsia="es-CO"/>
              </w:rPr>
            </w:pPr>
            <w:r>
              <w:rPr>
                <w:noProof/>
                <w:lang w:eastAsia="es-CO"/>
              </w:rPr>
              <w:t>14,10</w:t>
            </w:r>
          </w:p>
        </w:tc>
      </w:tr>
    </w:tbl>
    <w:p w14:paraId="45DEB209" w14:textId="415C33CA" w:rsidR="00702802" w:rsidRPr="00297F17" w:rsidRDefault="00D81244" w:rsidP="00297F17">
      <w:pPr>
        <w:pStyle w:val="Descripcin"/>
        <w:spacing w:before="0"/>
        <w:rPr>
          <w:sz w:val="18"/>
          <w:szCs w:val="16"/>
        </w:rPr>
      </w:pPr>
      <w:r w:rsidRPr="00670683">
        <w:rPr>
          <w:sz w:val="18"/>
          <w:szCs w:val="16"/>
          <w:vertAlign w:val="superscript"/>
        </w:rPr>
        <w:t>1</w:t>
      </w:r>
      <w:r w:rsidRPr="00297F17">
        <w:rPr>
          <w:sz w:val="18"/>
          <w:szCs w:val="16"/>
        </w:rPr>
        <w:t xml:space="preserve"> daf: </w:t>
      </w:r>
      <w:r w:rsidR="00A0251C" w:rsidRPr="00297F17">
        <w:rPr>
          <w:sz w:val="18"/>
          <w:szCs w:val="16"/>
        </w:rPr>
        <w:t>seco y libre de cenizas</w:t>
      </w:r>
      <w:r w:rsidR="0099422D" w:rsidRPr="00297F17">
        <w:rPr>
          <w:sz w:val="18"/>
          <w:szCs w:val="16"/>
        </w:rPr>
        <w:t xml:space="preserve"> (</w:t>
      </w:r>
      <w:r w:rsidR="005770C5" w:rsidRPr="00297F17">
        <w:rPr>
          <w:sz w:val="18"/>
          <w:szCs w:val="16"/>
        </w:rPr>
        <w:t>dry and ash free)</w:t>
      </w:r>
      <w:r w:rsidR="00CE6BA7" w:rsidRPr="00297F17">
        <w:rPr>
          <w:sz w:val="18"/>
          <w:szCs w:val="16"/>
        </w:rPr>
        <w:t>.</w:t>
      </w:r>
    </w:p>
    <w:p w14:paraId="3EFD44FC" w14:textId="36F7F00C" w:rsidR="00A2489D" w:rsidRPr="00297F17" w:rsidRDefault="00C933FA" w:rsidP="00297F17">
      <w:pPr>
        <w:pStyle w:val="Descripcin"/>
        <w:rPr>
          <w:sz w:val="18"/>
          <w:szCs w:val="16"/>
        </w:rPr>
      </w:pPr>
      <w:r w:rsidRPr="00297F17">
        <w:rPr>
          <w:sz w:val="18"/>
          <w:szCs w:val="16"/>
        </w:rPr>
        <w:t>Fuente: base de datos Phyllis2</w:t>
      </w:r>
      <w:r w:rsidR="00B03CD3">
        <w:rPr>
          <w:sz w:val="18"/>
          <w:szCs w:val="16"/>
        </w:rPr>
        <w:t xml:space="preserve"> [26]</w:t>
      </w:r>
      <w:r w:rsidR="004E6350">
        <w:rPr>
          <w:sz w:val="18"/>
          <w:szCs w:val="16"/>
        </w:rPr>
        <w:t>.</w:t>
      </w:r>
    </w:p>
    <w:p w14:paraId="48250CB2" w14:textId="7AFFC4C4" w:rsidR="00405B9C" w:rsidRDefault="008E76A3" w:rsidP="00927E2E">
      <w:r>
        <w:t>La composición másica</w:t>
      </w:r>
      <w:r w:rsidR="0043040F">
        <w:t xml:space="preserve"> </w:t>
      </w:r>
      <w:r w:rsidR="00555578">
        <w:t>de los elementos químicos que constituyen cada componente de los RSU</w:t>
      </w:r>
      <w:r w:rsidR="00405B9C">
        <w:t xml:space="preserve">, en base seca, se resume en la </w:t>
      </w:r>
      <w:r w:rsidR="000708A5">
        <w:fldChar w:fldCharType="begin"/>
      </w:r>
      <w:r w:rsidR="000708A5">
        <w:instrText xml:space="preserve"> REF _Ref110265516 \h </w:instrText>
      </w:r>
      <w:r w:rsidR="000708A5">
        <w:fldChar w:fldCharType="separate"/>
      </w:r>
      <w:r w:rsidR="000708A5">
        <w:t xml:space="preserve">Tabla </w:t>
      </w:r>
      <w:r w:rsidR="000708A5">
        <w:rPr>
          <w:noProof/>
        </w:rPr>
        <w:t>4</w:t>
      </w:r>
      <w:r w:rsidR="000708A5">
        <w:fldChar w:fldCharType="end"/>
      </w:r>
      <w:r w:rsidR="00DB62CF">
        <w:t>.</w:t>
      </w:r>
    </w:p>
    <w:p w14:paraId="4C34FF4C" w14:textId="49071F2C" w:rsidR="00405B9C" w:rsidRPr="00DA255A" w:rsidRDefault="009E6817" w:rsidP="003051D4">
      <w:pPr>
        <w:pStyle w:val="TablaTtulo"/>
        <w:spacing w:after="200"/>
        <w:rPr>
          <w:sz w:val="18"/>
          <w:szCs w:val="16"/>
        </w:rPr>
      </w:pPr>
      <w:bookmarkStart w:id="10" w:name="_Ref110265516"/>
      <w:r w:rsidRPr="00DA255A">
        <w:rPr>
          <w:sz w:val="18"/>
          <w:szCs w:val="16"/>
        </w:rPr>
        <w:t xml:space="preserve">Tabla </w:t>
      </w:r>
      <w:r w:rsidR="005C0089" w:rsidRPr="00DA255A">
        <w:rPr>
          <w:sz w:val="18"/>
          <w:szCs w:val="16"/>
        </w:rPr>
        <w:fldChar w:fldCharType="begin"/>
      </w:r>
      <w:r w:rsidR="005C0089" w:rsidRPr="00DA255A">
        <w:rPr>
          <w:sz w:val="18"/>
          <w:szCs w:val="16"/>
        </w:rPr>
        <w:instrText xml:space="preserve"> SEQ Tabla \* ARABIC </w:instrText>
      </w:r>
      <w:r w:rsidR="005C0089" w:rsidRPr="00DA255A">
        <w:rPr>
          <w:sz w:val="18"/>
          <w:szCs w:val="16"/>
        </w:rPr>
        <w:fldChar w:fldCharType="separate"/>
      </w:r>
      <w:r w:rsidRPr="00DA255A">
        <w:rPr>
          <w:sz w:val="18"/>
          <w:szCs w:val="16"/>
        </w:rPr>
        <w:t>4</w:t>
      </w:r>
      <w:r w:rsidR="005C0089" w:rsidRPr="00DA255A">
        <w:rPr>
          <w:sz w:val="18"/>
          <w:szCs w:val="16"/>
        </w:rPr>
        <w:fldChar w:fldCharType="end"/>
      </w:r>
      <w:bookmarkEnd w:id="10"/>
      <w:r w:rsidRPr="00DA255A">
        <w:rPr>
          <w:sz w:val="18"/>
          <w:szCs w:val="16"/>
        </w:rPr>
        <w:t xml:space="preserve"> Composición másica de </w:t>
      </w:r>
      <w:r w:rsidR="00D73430" w:rsidRPr="00DA255A">
        <w:rPr>
          <w:sz w:val="18"/>
          <w:szCs w:val="16"/>
        </w:rPr>
        <w:t>RSU.</w:t>
      </w:r>
    </w:p>
    <w:tbl>
      <w:tblPr>
        <w:tblStyle w:val="Tablaconcuadrcula"/>
        <w:tblW w:w="4394" w:type="dxa"/>
        <w:tblLook w:val="04A0" w:firstRow="1" w:lastRow="0" w:firstColumn="1" w:lastColumn="0" w:noHBand="0" w:noVBand="1"/>
      </w:tblPr>
      <w:tblGrid>
        <w:gridCol w:w="1361"/>
        <w:gridCol w:w="621"/>
        <w:gridCol w:w="621"/>
        <w:gridCol w:w="624"/>
        <w:gridCol w:w="621"/>
        <w:gridCol w:w="546"/>
      </w:tblGrid>
      <w:tr w:rsidR="00406948" w14:paraId="577F66E7" w14:textId="5A422A53" w:rsidTr="0002595A">
        <w:tc>
          <w:tcPr>
            <w:tcW w:w="1361" w:type="dxa"/>
            <w:shd w:val="clear" w:color="auto" w:fill="D9D9D9" w:themeFill="background1" w:themeFillShade="D9"/>
          </w:tcPr>
          <w:p w14:paraId="502822F7" w14:textId="1ED99709" w:rsidR="009466E0" w:rsidRDefault="00D274D0" w:rsidP="00406948">
            <w:pPr>
              <w:jc w:val="left"/>
            </w:pPr>
            <w:r>
              <w:t>Tipo de residuo</w:t>
            </w:r>
          </w:p>
        </w:tc>
        <w:tc>
          <w:tcPr>
            <w:tcW w:w="621" w:type="dxa"/>
            <w:shd w:val="clear" w:color="auto" w:fill="D9D9D9" w:themeFill="background1" w:themeFillShade="D9"/>
            <w:vAlign w:val="center"/>
          </w:tcPr>
          <w:p w14:paraId="2ED238FF" w14:textId="68DFDA7E" w:rsidR="009466E0" w:rsidRDefault="009466E0" w:rsidP="002A6052">
            <w:pPr>
              <w:jc w:val="center"/>
            </w:pPr>
            <w:r>
              <w:t>C</w:t>
            </w:r>
          </w:p>
        </w:tc>
        <w:tc>
          <w:tcPr>
            <w:tcW w:w="621" w:type="dxa"/>
            <w:shd w:val="clear" w:color="auto" w:fill="D9D9D9" w:themeFill="background1" w:themeFillShade="D9"/>
            <w:vAlign w:val="center"/>
          </w:tcPr>
          <w:p w14:paraId="51E14B41" w14:textId="6ECDFA6C" w:rsidR="009466E0" w:rsidRDefault="009466E0" w:rsidP="002A6052">
            <w:pPr>
              <w:jc w:val="center"/>
            </w:pPr>
            <w:r>
              <w:t>H</w:t>
            </w:r>
          </w:p>
        </w:tc>
        <w:tc>
          <w:tcPr>
            <w:tcW w:w="624" w:type="dxa"/>
            <w:shd w:val="clear" w:color="auto" w:fill="D9D9D9" w:themeFill="background1" w:themeFillShade="D9"/>
            <w:vAlign w:val="center"/>
          </w:tcPr>
          <w:p w14:paraId="4B10D46E" w14:textId="687739D8" w:rsidR="009466E0" w:rsidRDefault="009466E0" w:rsidP="002A6052">
            <w:pPr>
              <w:jc w:val="center"/>
            </w:pPr>
            <w:r>
              <w:t>O</w:t>
            </w:r>
          </w:p>
        </w:tc>
        <w:tc>
          <w:tcPr>
            <w:tcW w:w="621" w:type="dxa"/>
            <w:shd w:val="clear" w:color="auto" w:fill="D9D9D9" w:themeFill="background1" w:themeFillShade="D9"/>
            <w:vAlign w:val="center"/>
          </w:tcPr>
          <w:p w14:paraId="5FB2554D" w14:textId="40F30463" w:rsidR="009466E0" w:rsidRDefault="009466E0" w:rsidP="002A6052">
            <w:pPr>
              <w:jc w:val="center"/>
            </w:pPr>
            <w:r>
              <w:t>N</w:t>
            </w:r>
          </w:p>
        </w:tc>
        <w:tc>
          <w:tcPr>
            <w:tcW w:w="546" w:type="dxa"/>
            <w:shd w:val="clear" w:color="auto" w:fill="D9D9D9" w:themeFill="background1" w:themeFillShade="D9"/>
            <w:vAlign w:val="center"/>
          </w:tcPr>
          <w:p w14:paraId="375E9489" w14:textId="59CF4957" w:rsidR="009466E0" w:rsidRDefault="009466E0" w:rsidP="00FE3B62">
            <w:pPr>
              <w:jc w:val="center"/>
            </w:pPr>
            <w:r>
              <w:t>S</w:t>
            </w:r>
          </w:p>
        </w:tc>
      </w:tr>
      <w:tr w:rsidR="00406948" w14:paraId="611B46D6" w14:textId="0ABA1EAE" w:rsidTr="00CA0D6F">
        <w:tc>
          <w:tcPr>
            <w:tcW w:w="1361" w:type="dxa"/>
          </w:tcPr>
          <w:p w14:paraId="4D9B9664" w14:textId="0AD29287" w:rsidR="00D274D0" w:rsidRPr="00406948" w:rsidRDefault="00D274D0" w:rsidP="00D274D0">
            <w:pPr>
              <w:rPr>
                <w:sz w:val="18"/>
                <w:szCs w:val="18"/>
              </w:rPr>
            </w:pPr>
            <w:r w:rsidRPr="00406948">
              <w:rPr>
                <w:noProof/>
                <w:sz w:val="18"/>
                <w:szCs w:val="18"/>
                <w:lang w:eastAsia="es-CO"/>
              </w:rPr>
              <w:t xml:space="preserve">Mat. orgánica </w:t>
            </w:r>
          </w:p>
        </w:tc>
        <w:tc>
          <w:tcPr>
            <w:tcW w:w="621" w:type="dxa"/>
            <w:vAlign w:val="center"/>
          </w:tcPr>
          <w:p w14:paraId="64E55870" w14:textId="22BCFC86" w:rsidR="00D274D0" w:rsidRPr="00406948" w:rsidRDefault="0044134B" w:rsidP="00D274D0">
            <w:pPr>
              <w:jc w:val="center"/>
              <w:rPr>
                <w:sz w:val="18"/>
                <w:szCs w:val="18"/>
              </w:rPr>
            </w:pPr>
            <w:r w:rsidRPr="00406948">
              <w:rPr>
                <w:sz w:val="18"/>
                <w:szCs w:val="18"/>
              </w:rPr>
              <w:t>19,36</w:t>
            </w:r>
          </w:p>
        </w:tc>
        <w:tc>
          <w:tcPr>
            <w:tcW w:w="621" w:type="dxa"/>
            <w:vAlign w:val="center"/>
          </w:tcPr>
          <w:p w14:paraId="4D7E9FEC" w14:textId="2AA9FB2B" w:rsidR="00D274D0" w:rsidRPr="00406948" w:rsidRDefault="005C3215" w:rsidP="00D274D0">
            <w:pPr>
              <w:jc w:val="center"/>
              <w:rPr>
                <w:sz w:val="18"/>
                <w:szCs w:val="18"/>
              </w:rPr>
            </w:pPr>
            <w:r w:rsidRPr="00406948">
              <w:rPr>
                <w:sz w:val="18"/>
                <w:szCs w:val="18"/>
              </w:rPr>
              <w:t>2,50</w:t>
            </w:r>
          </w:p>
        </w:tc>
        <w:tc>
          <w:tcPr>
            <w:tcW w:w="624" w:type="dxa"/>
            <w:vAlign w:val="center"/>
          </w:tcPr>
          <w:p w14:paraId="0DC9F568" w14:textId="114B6C8E" w:rsidR="00D274D0" w:rsidRPr="00406948" w:rsidRDefault="00474BB5" w:rsidP="00D274D0">
            <w:pPr>
              <w:jc w:val="center"/>
              <w:rPr>
                <w:sz w:val="18"/>
                <w:szCs w:val="18"/>
              </w:rPr>
            </w:pPr>
            <w:r w:rsidRPr="00406948">
              <w:rPr>
                <w:sz w:val="18"/>
                <w:szCs w:val="18"/>
              </w:rPr>
              <w:t>14,32</w:t>
            </w:r>
          </w:p>
        </w:tc>
        <w:tc>
          <w:tcPr>
            <w:tcW w:w="621" w:type="dxa"/>
            <w:vAlign w:val="center"/>
          </w:tcPr>
          <w:p w14:paraId="17D85400" w14:textId="0233B1A4" w:rsidR="00D274D0" w:rsidRPr="00406948" w:rsidRDefault="00E4649A" w:rsidP="00D274D0">
            <w:pPr>
              <w:jc w:val="center"/>
              <w:rPr>
                <w:sz w:val="18"/>
                <w:szCs w:val="18"/>
              </w:rPr>
            </w:pPr>
            <w:r w:rsidRPr="00406948">
              <w:rPr>
                <w:sz w:val="18"/>
                <w:szCs w:val="18"/>
              </w:rPr>
              <w:t>0,82</w:t>
            </w:r>
          </w:p>
        </w:tc>
        <w:tc>
          <w:tcPr>
            <w:tcW w:w="546" w:type="dxa"/>
            <w:vAlign w:val="center"/>
          </w:tcPr>
          <w:p w14:paraId="2137B322" w14:textId="51FCC672" w:rsidR="00D274D0" w:rsidRPr="00406948" w:rsidRDefault="00FE3B62" w:rsidP="00FE3B62">
            <w:pPr>
              <w:jc w:val="center"/>
              <w:rPr>
                <w:sz w:val="18"/>
                <w:szCs w:val="18"/>
              </w:rPr>
            </w:pPr>
            <w:r w:rsidRPr="00406948">
              <w:rPr>
                <w:sz w:val="18"/>
                <w:szCs w:val="18"/>
              </w:rPr>
              <w:t>0,19</w:t>
            </w:r>
          </w:p>
        </w:tc>
      </w:tr>
      <w:tr w:rsidR="00406948" w14:paraId="6527133A" w14:textId="2BE00C8D" w:rsidTr="00CA0D6F">
        <w:tc>
          <w:tcPr>
            <w:tcW w:w="1361" w:type="dxa"/>
          </w:tcPr>
          <w:p w14:paraId="6E795A7A" w14:textId="4B4BFA77" w:rsidR="00D274D0" w:rsidRPr="00406948" w:rsidRDefault="00D274D0" w:rsidP="00D274D0">
            <w:pPr>
              <w:rPr>
                <w:sz w:val="18"/>
                <w:szCs w:val="18"/>
              </w:rPr>
            </w:pPr>
            <w:r w:rsidRPr="00406948">
              <w:rPr>
                <w:noProof/>
                <w:sz w:val="18"/>
                <w:szCs w:val="18"/>
                <w:lang w:eastAsia="es-CO"/>
              </w:rPr>
              <w:t>Papel y cartón</w:t>
            </w:r>
          </w:p>
        </w:tc>
        <w:tc>
          <w:tcPr>
            <w:tcW w:w="621" w:type="dxa"/>
            <w:vAlign w:val="center"/>
          </w:tcPr>
          <w:p w14:paraId="4090F940" w14:textId="3288FDEE" w:rsidR="00D274D0" w:rsidRPr="00406948" w:rsidRDefault="00262524" w:rsidP="00D274D0">
            <w:pPr>
              <w:jc w:val="center"/>
              <w:rPr>
                <w:sz w:val="18"/>
                <w:szCs w:val="18"/>
              </w:rPr>
            </w:pPr>
            <w:r w:rsidRPr="00406948">
              <w:rPr>
                <w:sz w:val="18"/>
                <w:szCs w:val="18"/>
              </w:rPr>
              <w:t>46,76</w:t>
            </w:r>
          </w:p>
        </w:tc>
        <w:tc>
          <w:tcPr>
            <w:tcW w:w="621" w:type="dxa"/>
            <w:vAlign w:val="center"/>
          </w:tcPr>
          <w:p w14:paraId="14B6DAB4" w14:textId="7FDB1CC9" w:rsidR="00D274D0" w:rsidRPr="00406948" w:rsidRDefault="005C3215" w:rsidP="00D274D0">
            <w:pPr>
              <w:jc w:val="center"/>
              <w:rPr>
                <w:sz w:val="18"/>
                <w:szCs w:val="18"/>
              </w:rPr>
            </w:pPr>
            <w:r w:rsidRPr="00406948">
              <w:rPr>
                <w:sz w:val="18"/>
                <w:szCs w:val="18"/>
              </w:rPr>
              <w:t>6,70</w:t>
            </w:r>
          </w:p>
        </w:tc>
        <w:tc>
          <w:tcPr>
            <w:tcW w:w="624" w:type="dxa"/>
            <w:vAlign w:val="center"/>
          </w:tcPr>
          <w:p w14:paraId="45F0E5AF" w14:textId="788569A2" w:rsidR="00D274D0" w:rsidRPr="00406948" w:rsidRDefault="00EF59A5" w:rsidP="00D274D0">
            <w:pPr>
              <w:jc w:val="center"/>
              <w:rPr>
                <w:sz w:val="18"/>
                <w:szCs w:val="18"/>
              </w:rPr>
            </w:pPr>
            <w:r w:rsidRPr="00406948">
              <w:rPr>
                <w:sz w:val="18"/>
                <w:szCs w:val="18"/>
              </w:rPr>
              <w:t>33,06</w:t>
            </w:r>
          </w:p>
        </w:tc>
        <w:tc>
          <w:tcPr>
            <w:tcW w:w="621" w:type="dxa"/>
            <w:vAlign w:val="center"/>
          </w:tcPr>
          <w:p w14:paraId="45A8508D" w14:textId="5F734F95" w:rsidR="00D274D0" w:rsidRPr="00406948" w:rsidRDefault="00E4649A" w:rsidP="00D274D0">
            <w:pPr>
              <w:jc w:val="center"/>
              <w:rPr>
                <w:sz w:val="18"/>
                <w:szCs w:val="18"/>
              </w:rPr>
            </w:pPr>
            <w:r w:rsidRPr="00406948">
              <w:rPr>
                <w:sz w:val="18"/>
                <w:szCs w:val="18"/>
              </w:rPr>
              <w:t>0,66</w:t>
            </w:r>
          </w:p>
        </w:tc>
        <w:tc>
          <w:tcPr>
            <w:tcW w:w="546" w:type="dxa"/>
            <w:vAlign w:val="center"/>
          </w:tcPr>
          <w:p w14:paraId="4D4E53FD" w14:textId="21513E8D" w:rsidR="00D274D0" w:rsidRPr="00406948" w:rsidRDefault="00B31C5A" w:rsidP="00FE3B62">
            <w:pPr>
              <w:jc w:val="center"/>
              <w:rPr>
                <w:sz w:val="18"/>
                <w:szCs w:val="18"/>
              </w:rPr>
            </w:pPr>
            <w:r w:rsidRPr="00406948">
              <w:rPr>
                <w:sz w:val="18"/>
                <w:szCs w:val="18"/>
              </w:rPr>
              <w:t>0,14</w:t>
            </w:r>
          </w:p>
        </w:tc>
      </w:tr>
      <w:tr w:rsidR="00406948" w14:paraId="2CC5EDA5" w14:textId="07B0969A" w:rsidTr="00CA0D6F">
        <w:tc>
          <w:tcPr>
            <w:tcW w:w="1361" w:type="dxa"/>
          </w:tcPr>
          <w:p w14:paraId="27198864" w14:textId="3CD494A0" w:rsidR="00D274D0" w:rsidRPr="00406948" w:rsidRDefault="00D274D0" w:rsidP="00D274D0">
            <w:pPr>
              <w:rPr>
                <w:sz w:val="18"/>
                <w:szCs w:val="18"/>
              </w:rPr>
            </w:pPr>
            <w:r w:rsidRPr="00406948">
              <w:rPr>
                <w:noProof/>
                <w:sz w:val="18"/>
                <w:szCs w:val="18"/>
                <w:lang w:eastAsia="es-CO"/>
              </w:rPr>
              <w:t>Plásticos</w:t>
            </w:r>
          </w:p>
        </w:tc>
        <w:tc>
          <w:tcPr>
            <w:tcW w:w="621" w:type="dxa"/>
            <w:vAlign w:val="center"/>
          </w:tcPr>
          <w:p w14:paraId="19922285" w14:textId="77777777" w:rsidR="00D274D0" w:rsidRPr="00406948" w:rsidRDefault="00D274D0" w:rsidP="00D274D0">
            <w:pPr>
              <w:jc w:val="center"/>
              <w:rPr>
                <w:sz w:val="18"/>
                <w:szCs w:val="18"/>
              </w:rPr>
            </w:pPr>
          </w:p>
        </w:tc>
        <w:tc>
          <w:tcPr>
            <w:tcW w:w="621" w:type="dxa"/>
            <w:vAlign w:val="center"/>
          </w:tcPr>
          <w:p w14:paraId="16431904" w14:textId="77777777" w:rsidR="00D274D0" w:rsidRPr="00406948" w:rsidRDefault="00D274D0" w:rsidP="00D274D0">
            <w:pPr>
              <w:jc w:val="center"/>
              <w:rPr>
                <w:sz w:val="18"/>
                <w:szCs w:val="18"/>
              </w:rPr>
            </w:pPr>
          </w:p>
        </w:tc>
        <w:tc>
          <w:tcPr>
            <w:tcW w:w="624" w:type="dxa"/>
            <w:vAlign w:val="center"/>
          </w:tcPr>
          <w:p w14:paraId="272379FC" w14:textId="77777777" w:rsidR="00D274D0" w:rsidRPr="00406948" w:rsidRDefault="00D274D0" w:rsidP="00D274D0">
            <w:pPr>
              <w:jc w:val="center"/>
              <w:rPr>
                <w:sz w:val="18"/>
                <w:szCs w:val="18"/>
              </w:rPr>
            </w:pPr>
          </w:p>
        </w:tc>
        <w:tc>
          <w:tcPr>
            <w:tcW w:w="621" w:type="dxa"/>
            <w:vAlign w:val="center"/>
          </w:tcPr>
          <w:p w14:paraId="170B6F9F" w14:textId="77777777" w:rsidR="00D274D0" w:rsidRPr="00406948" w:rsidRDefault="00D274D0" w:rsidP="00D274D0">
            <w:pPr>
              <w:jc w:val="center"/>
              <w:rPr>
                <w:sz w:val="18"/>
                <w:szCs w:val="18"/>
              </w:rPr>
            </w:pPr>
          </w:p>
        </w:tc>
        <w:tc>
          <w:tcPr>
            <w:tcW w:w="546" w:type="dxa"/>
            <w:vAlign w:val="center"/>
          </w:tcPr>
          <w:p w14:paraId="1C8E54B5" w14:textId="77777777" w:rsidR="00D274D0" w:rsidRPr="00406948" w:rsidRDefault="00D274D0" w:rsidP="00FE3B62">
            <w:pPr>
              <w:jc w:val="center"/>
              <w:rPr>
                <w:sz w:val="18"/>
                <w:szCs w:val="18"/>
              </w:rPr>
            </w:pPr>
          </w:p>
        </w:tc>
      </w:tr>
      <w:tr w:rsidR="00912E3A" w14:paraId="37500ACE" w14:textId="77777777" w:rsidTr="00CA0D6F">
        <w:tc>
          <w:tcPr>
            <w:tcW w:w="1361" w:type="dxa"/>
          </w:tcPr>
          <w:p w14:paraId="15FE69A0" w14:textId="349C7E82" w:rsidR="00FF1778" w:rsidRPr="00406948" w:rsidRDefault="00FF1778" w:rsidP="00FF1778">
            <w:pPr>
              <w:ind w:firstLine="175"/>
              <w:rPr>
                <w:noProof/>
                <w:sz w:val="18"/>
                <w:szCs w:val="18"/>
                <w:lang w:eastAsia="es-CO"/>
              </w:rPr>
            </w:pPr>
            <w:r w:rsidRPr="00406948">
              <w:rPr>
                <w:noProof/>
                <w:sz w:val="18"/>
                <w:szCs w:val="18"/>
                <w:lang w:eastAsia="es-CO"/>
              </w:rPr>
              <w:t>PET</w:t>
            </w:r>
          </w:p>
        </w:tc>
        <w:tc>
          <w:tcPr>
            <w:tcW w:w="621" w:type="dxa"/>
            <w:vAlign w:val="center"/>
          </w:tcPr>
          <w:p w14:paraId="5C26E33C" w14:textId="78F3BDE6" w:rsidR="00FF1778" w:rsidRPr="00406948" w:rsidRDefault="00262524" w:rsidP="00FF1778">
            <w:pPr>
              <w:jc w:val="center"/>
              <w:rPr>
                <w:sz w:val="18"/>
                <w:szCs w:val="18"/>
              </w:rPr>
            </w:pPr>
            <w:r w:rsidRPr="00406948">
              <w:rPr>
                <w:sz w:val="18"/>
                <w:szCs w:val="18"/>
              </w:rPr>
              <w:t>62,20</w:t>
            </w:r>
          </w:p>
        </w:tc>
        <w:tc>
          <w:tcPr>
            <w:tcW w:w="621" w:type="dxa"/>
            <w:vAlign w:val="center"/>
          </w:tcPr>
          <w:p w14:paraId="5AE852E8" w14:textId="1E390DB1" w:rsidR="00FF1778" w:rsidRPr="00406948" w:rsidRDefault="005C3215" w:rsidP="00FF1778">
            <w:pPr>
              <w:jc w:val="center"/>
              <w:rPr>
                <w:sz w:val="18"/>
                <w:szCs w:val="18"/>
              </w:rPr>
            </w:pPr>
            <w:r w:rsidRPr="00406948">
              <w:rPr>
                <w:sz w:val="18"/>
                <w:szCs w:val="18"/>
              </w:rPr>
              <w:t>4,20</w:t>
            </w:r>
          </w:p>
        </w:tc>
        <w:tc>
          <w:tcPr>
            <w:tcW w:w="624" w:type="dxa"/>
            <w:vAlign w:val="center"/>
          </w:tcPr>
          <w:p w14:paraId="1DC16D84" w14:textId="0A32E024" w:rsidR="00FF1778" w:rsidRPr="00406948" w:rsidRDefault="00EF59A5" w:rsidP="00FF1778">
            <w:pPr>
              <w:jc w:val="center"/>
              <w:rPr>
                <w:sz w:val="18"/>
                <w:szCs w:val="18"/>
              </w:rPr>
            </w:pPr>
            <w:r w:rsidRPr="00406948">
              <w:rPr>
                <w:sz w:val="18"/>
                <w:szCs w:val="18"/>
              </w:rPr>
              <w:t>32,87</w:t>
            </w:r>
          </w:p>
        </w:tc>
        <w:tc>
          <w:tcPr>
            <w:tcW w:w="621" w:type="dxa"/>
            <w:vAlign w:val="center"/>
          </w:tcPr>
          <w:p w14:paraId="209335A0" w14:textId="63038F6E" w:rsidR="00FF1778" w:rsidRPr="00406948" w:rsidRDefault="00FE3B62" w:rsidP="00FF1778">
            <w:pPr>
              <w:jc w:val="center"/>
              <w:rPr>
                <w:sz w:val="18"/>
                <w:szCs w:val="18"/>
              </w:rPr>
            </w:pPr>
            <w:r w:rsidRPr="00406948">
              <w:rPr>
                <w:sz w:val="18"/>
                <w:szCs w:val="18"/>
              </w:rPr>
              <w:t>-</w:t>
            </w:r>
          </w:p>
        </w:tc>
        <w:tc>
          <w:tcPr>
            <w:tcW w:w="546" w:type="dxa"/>
            <w:vAlign w:val="center"/>
          </w:tcPr>
          <w:p w14:paraId="4A7CF857" w14:textId="358726F2" w:rsidR="00FF1778" w:rsidRPr="00406948" w:rsidRDefault="0002595A" w:rsidP="00FE3B62">
            <w:pPr>
              <w:jc w:val="center"/>
              <w:rPr>
                <w:sz w:val="18"/>
                <w:szCs w:val="18"/>
              </w:rPr>
            </w:pPr>
            <w:r>
              <w:rPr>
                <w:sz w:val="18"/>
                <w:szCs w:val="18"/>
              </w:rPr>
              <w:t>-</w:t>
            </w:r>
          </w:p>
        </w:tc>
      </w:tr>
      <w:tr w:rsidR="00912E3A" w14:paraId="21714A50" w14:textId="77777777" w:rsidTr="00CA0D6F">
        <w:tc>
          <w:tcPr>
            <w:tcW w:w="1361" w:type="dxa"/>
          </w:tcPr>
          <w:p w14:paraId="20B9FE86" w14:textId="37B39872" w:rsidR="00FF1778" w:rsidRPr="00406948" w:rsidRDefault="00FF1778" w:rsidP="00FF1778">
            <w:pPr>
              <w:ind w:firstLine="175"/>
              <w:rPr>
                <w:noProof/>
                <w:sz w:val="18"/>
                <w:szCs w:val="18"/>
                <w:lang w:eastAsia="es-CO"/>
              </w:rPr>
            </w:pPr>
            <w:r w:rsidRPr="00406948">
              <w:rPr>
                <w:noProof/>
                <w:sz w:val="18"/>
                <w:szCs w:val="18"/>
                <w:lang w:eastAsia="es-CO"/>
              </w:rPr>
              <w:t>HDPE</w:t>
            </w:r>
          </w:p>
        </w:tc>
        <w:tc>
          <w:tcPr>
            <w:tcW w:w="621" w:type="dxa"/>
            <w:vAlign w:val="center"/>
          </w:tcPr>
          <w:p w14:paraId="1A660B89" w14:textId="362CF8DD" w:rsidR="00FF1778" w:rsidRPr="00406948" w:rsidRDefault="00262524" w:rsidP="00FF1778">
            <w:pPr>
              <w:jc w:val="center"/>
              <w:rPr>
                <w:sz w:val="18"/>
                <w:szCs w:val="18"/>
              </w:rPr>
            </w:pPr>
            <w:r w:rsidRPr="00406948">
              <w:rPr>
                <w:sz w:val="18"/>
                <w:szCs w:val="18"/>
              </w:rPr>
              <w:t>85,46</w:t>
            </w:r>
          </w:p>
        </w:tc>
        <w:tc>
          <w:tcPr>
            <w:tcW w:w="621" w:type="dxa"/>
            <w:vAlign w:val="center"/>
          </w:tcPr>
          <w:p w14:paraId="57D54ABA" w14:textId="4EFFC557" w:rsidR="00FF1778" w:rsidRPr="00406948" w:rsidRDefault="005C3215" w:rsidP="00FF1778">
            <w:pPr>
              <w:jc w:val="center"/>
              <w:rPr>
                <w:sz w:val="18"/>
                <w:szCs w:val="18"/>
              </w:rPr>
            </w:pPr>
            <w:r w:rsidRPr="00406948">
              <w:rPr>
                <w:sz w:val="18"/>
                <w:szCs w:val="18"/>
              </w:rPr>
              <w:t>14,18</w:t>
            </w:r>
          </w:p>
        </w:tc>
        <w:tc>
          <w:tcPr>
            <w:tcW w:w="624" w:type="dxa"/>
            <w:vAlign w:val="center"/>
          </w:tcPr>
          <w:p w14:paraId="2CA0B81C" w14:textId="5A3DB89F" w:rsidR="00FF1778" w:rsidRPr="00406948" w:rsidRDefault="00EF59A5" w:rsidP="00FF1778">
            <w:pPr>
              <w:jc w:val="center"/>
              <w:rPr>
                <w:sz w:val="18"/>
                <w:szCs w:val="18"/>
              </w:rPr>
            </w:pPr>
            <w:r w:rsidRPr="00406948">
              <w:rPr>
                <w:sz w:val="18"/>
                <w:szCs w:val="18"/>
              </w:rPr>
              <w:t>0,30</w:t>
            </w:r>
          </w:p>
        </w:tc>
        <w:tc>
          <w:tcPr>
            <w:tcW w:w="621" w:type="dxa"/>
            <w:vAlign w:val="center"/>
          </w:tcPr>
          <w:p w14:paraId="2CC3CB49" w14:textId="1AA25A30" w:rsidR="00FF1778" w:rsidRPr="00406948" w:rsidRDefault="00FE3B62" w:rsidP="00FF1778">
            <w:pPr>
              <w:jc w:val="center"/>
              <w:rPr>
                <w:sz w:val="18"/>
                <w:szCs w:val="18"/>
              </w:rPr>
            </w:pPr>
            <w:r w:rsidRPr="00406948">
              <w:rPr>
                <w:sz w:val="18"/>
                <w:szCs w:val="18"/>
              </w:rPr>
              <w:t>-</w:t>
            </w:r>
          </w:p>
        </w:tc>
        <w:tc>
          <w:tcPr>
            <w:tcW w:w="546" w:type="dxa"/>
            <w:vAlign w:val="center"/>
          </w:tcPr>
          <w:p w14:paraId="6E5A8370" w14:textId="1CEDE0AB" w:rsidR="00FF1778" w:rsidRPr="00406948" w:rsidRDefault="0002595A" w:rsidP="00FE3B62">
            <w:pPr>
              <w:jc w:val="center"/>
              <w:rPr>
                <w:sz w:val="18"/>
                <w:szCs w:val="18"/>
              </w:rPr>
            </w:pPr>
            <w:r>
              <w:rPr>
                <w:sz w:val="18"/>
                <w:szCs w:val="18"/>
              </w:rPr>
              <w:t>-</w:t>
            </w:r>
          </w:p>
        </w:tc>
      </w:tr>
      <w:tr w:rsidR="00912E3A" w14:paraId="492A5842" w14:textId="77777777" w:rsidTr="00CA0D6F">
        <w:tc>
          <w:tcPr>
            <w:tcW w:w="1361" w:type="dxa"/>
          </w:tcPr>
          <w:p w14:paraId="569E315B" w14:textId="7FEC31AA" w:rsidR="00FF1778" w:rsidRPr="00406948" w:rsidRDefault="00FF1778" w:rsidP="00FF1778">
            <w:pPr>
              <w:ind w:firstLine="175"/>
              <w:rPr>
                <w:noProof/>
                <w:sz w:val="18"/>
                <w:szCs w:val="18"/>
                <w:lang w:eastAsia="es-CO"/>
              </w:rPr>
            </w:pPr>
            <w:r w:rsidRPr="00406948">
              <w:rPr>
                <w:noProof/>
                <w:sz w:val="18"/>
                <w:szCs w:val="18"/>
                <w:lang w:eastAsia="es-CO"/>
              </w:rPr>
              <w:t>PVC</w:t>
            </w:r>
          </w:p>
        </w:tc>
        <w:tc>
          <w:tcPr>
            <w:tcW w:w="621" w:type="dxa"/>
            <w:vAlign w:val="center"/>
          </w:tcPr>
          <w:p w14:paraId="0DD84DA6" w14:textId="25536D6B" w:rsidR="00FF1778" w:rsidRPr="00406948" w:rsidRDefault="00262524" w:rsidP="00FF1778">
            <w:pPr>
              <w:jc w:val="center"/>
              <w:rPr>
                <w:sz w:val="18"/>
                <w:szCs w:val="18"/>
              </w:rPr>
            </w:pPr>
            <w:r w:rsidRPr="00406948">
              <w:rPr>
                <w:sz w:val="18"/>
                <w:szCs w:val="18"/>
              </w:rPr>
              <w:t>40,03</w:t>
            </w:r>
          </w:p>
        </w:tc>
        <w:tc>
          <w:tcPr>
            <w:tcW w:w="621" w:type="dxa"/>
            <w:vAlign w:val="center"/>
          </w:tcPr>
          <w:p w14:paraId="3E2787C3" w14:textId="5C657F37" w:rsidR="00FF1778" w:rsidRPr="00406948" w:rsidRDefault="00864F57" w:rsidP="00FF1778">
            <w:pPr>
              <w:jc w:val="center"/>
              <w:rPr>
                <w:sz w:val="18"/>
                <w:szCs w:val="18"/>
              </w:rPr>
            </w:pPr>
            <w:r w:rsidRPr="00406948">
              <w:rPr>
                <w:sz w:val="18"/>
                <w:szCs w:val="18"/>
              </w:rPr>
              <w:t>5,09</w:t>
            </w:r>
          </w:p>
        </w:tc>
        <w:tc>
          <w:tcPr>
            <w:tcW w:w="624" w:type="dxa"/>
            <w:vAlign w:val="center"/>
          </w:tcPr>
          <w:p w14:paraId="0D900EFF" w14:textId="4781AE22" w:rsidR="00FF1778" w:rsidRPr="00406948" w:rsidRDefault="00EF59A5" w:rsidP="00FF1778">
            <w:pPr>
              <w:jc w:val="center"/>
              <w:rPr>
                <w:sz w:val="18"/>
                <w:szCs w:val="18"/>
              </w:rPr>
            </w:pPr>
            <w:r w:rsidRPr="00406948">
              <w:rPr>
                <w:sz w:val="18"/>
                <w:szCs w:val="18"/>
              </w:rPr>
              <w:t>0,65</w:t>
            </w:r>
          </w:p>
        </w:tc>
        <w:tc>
          <w:tcPr>
            <w:tcW w:w="621" w:type="dxa"/>
            <w:vAlign w:val="center"/>
          </w:tcPr>
          <w:p w14:paraId="6A9C073A" w14:textId="616A9424" w:rsidR="00FF1778" w:rsidRPr="00406948" w:rsidRDefault="00FE3B62" w:rsidP="00FF1778">
            <w:pPr>
              <w:jc w:val="center"/>
              <w:rPr>
                <w:sz w:val="18"/>
                <w:szCs w:val="18"/>
              </w:rPr>
            </w:pPr>
            <w:r w:rsidRPr="00406948">
              <w:rPr>
                <w:sz w:val="18"/>
                <w:szCs w:val="18"/>
              </w:rPr>
              <w:t>-</w:t>
            </w:r>
          </w:p>
        </w:tc>
        <w:tc>
          <w:tcPr>
            <w:tcW w:w="546" w:type="dxa"/>
            <w:vAlign w:val="center"/>
          </w:tcPr>
          <w:p w14:paraId="7ECE3DEB" w14:textId="6CD0AFEC" w:rsidR="00FF1778" w:rsidRPr="00406948" w:rsidRDefault="0002595A" w:rsidP="00FE3B62">
            <w:pPr>
              <w:jc w:val="center"/>
              <w:rPr>
                <w:sz w:val="18"/>
                <w:szCs w:val="18"/>
              </w:rPr>
            </w:pPr>
            <w:r>
              <w:rPr>
                <w:sz w:val="18"/>
                <w:szCs w:val="18"/>
              </w:rPr>
              <w:t>-</w:t>
            </w:r>
          </w:p>
        </w:tc>
      </w:tr>
      <w:tr w:rsidR="00912E3A" w14:paraId="3232CF1C" w14:textId="77777777" w:rsidTr="00CA0D6F">
        <w:tc>
          <w:tcPr>
            <w:tcW w:w="1361" w:type="dxa"/>
          </w:tcPr>
          <w:p w14:paraId="7AC6FE0B" w14:textId="233A4850" w:rsidR="00FF1778" w:rsidRPr="00406948" w:rsidRDefault="00FF1778" w:rsidP="00FF1778">
            <w:pPr>
              <w:ind w:firstLine="175"/>
              <w:rPr>
                <w:noProof/>
                <w:sz w:val="18"/>
                <w:szCs w:val="18"/>
                <w:lang w:eastAsia="es-CO"/>
              </w:rPr>
            </w:pPr>
            <w:r w:rsidRPr="00406948">
              <w:rPr>
                <w:noProof/>
                <w:sz w:val="18"/>
                <w:szCs w:val="18"/>
                <w:lang w:eastAsia="es-CO"/>
              </w:rPr>
              <w:t>LDPE</w:t>
            </w:r>
          </w:p>
        </w:tc>
        <w:tc>
          <w:tcPr>
            <w:tcW w:w="621" w:type="dxa"/>
            <w:vAlign w:val="center"/>
          </w:tcPr>
          <w:p w14:paraId="3F0CDAF7" w14:textId="0B0D9B18" w:rsidR="00FF1778" w:rsidRPr="00406948" w:rsidRDefault="000001EE" w:rsidP="00FF1778">
            <w:pPr>
              <w:jc w:val="center"/>
              <w:rPr>
                <w:sz w:val="18"/>
                <w:szCs w:val="18"/>
              </w:rPr>
            </w:pPr>
            <w:r w:rsidRPr="00406948">
              <w:rPr>
                <w:sz w:val="18"/>
                <w:szCs w:val="18"/>
              </w:rPr>
              <w:t>85,61</w:t>
            </w:r>
          </w:p>
        </w:tc>
        <w:tc>
          <w:tcPr>
            <w:tcW w:w="621" w:type="dxa"/>
            <w:vAlign w:val="center"/>
          </w:tcPr>
          <w:p w14:paraId="6B391004" w14:textId="3E274177" w:rsidR="00FF1778" w:rsidRPr="00406948" w:rsidRDefault="000D42E4" w:rsidP="00FF1778">
            <w:pPr>
              <w:jc w:val="center"/>
              <w:rPr>
                <w:sz w:val="18"/>
                <w:szCs w:val="18"/>
              </w:rPr>
            </w:pPr>
            <w:r w:rsidRPr="00406948">
              <w:rPr>
                <w:sz w:val="18"/>
                <w:szCs w:val="18"/>
              </w:rPr>
              <w:t>14,29</w:t>
            </w:r>
          </w:p>
        </w:tc>
        <w:tc>
          <w:tcPr>
            <w:tcW w:w="624" w:type="dxa"/>
            <w:vAlign w:val="center"/>
          </w:tcPr>
          <w:p w14:paraId="072864F0" w14:textId="110B49FB" w:rsidR="00FF1778" w:rsidRPr="00406948" w:rsidRDefault="00873C0B" w:rsidP="00FF1778">
            <w:pPr>
              <w:jc w:val="center"/>
              <w:rPr>
                <w:sz w:val="18"/>
                <w:szCs w:val="18"/>
              </w:rPr>
            </w:pPr>
            <w:r w:rsidRPr="00406948">
              <w:rPr>
                <w:sz w:val="18"/>
                <w:szCs w:val="18"/>
              </w:rPr>
              <w:t>0,16</w:t>
            </w:r>
          </w:p>
        </w:tc>
        <w:tc>
          <w:tcPr>
            <w:tcW w:w="621" w:type="dxa"/>
            <w:vAlign w:val="center"/>
          </w:tcPr>
          <w:p w14:paraId="33B50BDA" w14:textId="50C20577" w:rsidR="00FF1778" w:rsidRPr="00406948" w:rsidRDefault="00FE3B62" w:rsidP="00FF1778">
            <w:pPr>
              <w:jc w:val="center"/>
              <w:rPr>
                <w:sz w:val="18"/>
                <w:szCs w:val="18"/>
              </w:rPr>
            </w:pPr>
            <w:r w:rsidRPr="00406948">
              <w:rPr>
                <w:sz w:val="18"/>
                <w:szCs w:val="18"/>
              </w:rPr>
              <w:t>-</w:t>
            </w:r>
          </w:p>
        </w:tc>
        <w:tc>
          <w:tcPr>
            <w:tcW w:w="546" w:type="dxa"/>
            <w:vAlign w:val="center"/>
          </w:tcPr>
          <w:p w14:paraId="43947AAB" w14:textId="1CF9EC98" w:rsidR="00FF1778" w:rsidRPr="00406948" w:rsidRDefault="0002595A" w:rsidP="00FE3B62">
            <w:pPr>
              <w:jc w:val="center"/>
              <w:rPr>
                <w:sz w:val="18"/>
                <w:szCs w:val="18"/>
              </w:rPr>
            </w:pPr>
            <w:r>
              <w:rPr>
                <w:sz w:val="18"/>
                <w:szCs w:val="18"/>
              </w:rPr>
              <w:t>-</w:t>
            </w:r>
          </w:p>
        </w:tc>
      </w:tr>
      <w:tr w:rsidR="00912E3A" w14:paraId="2FC0C4E4" w14:textId="77777777" w:rsidTr="00CA0D6F">
        <w:tc>
          <w:tcPr>
            <w:tcW w:w="1361" w:type="dxa"/>
          </w:tcPr>
          <w:p w14:paraId="785F7EF5" w14:textId="0DF4DACA" w:rsidR="00FF1778" w:rsidRPr="00406948" w:rsidRDefault="00FF1778" w:rsidP="00FF1778">
            <w:pPr>
              <w:ind w:firstLine="175"/>
              <w:rPr>
                <w:noProof/>
                <w:sz w:val="18"/>
                <w:szCs w:val="18"/>
                <w:lang w:eastAsia="es-CO"/>
              </w:rPr>
            </w:pPr>
            <w:r w:rsidRPr="00406948">
              <w:rPr>
                <w:noProof/>
                <w:sz w:val="18"/>
                <w:szCs w:val="18"/>
                <w:lang w:eastAsia="es-CO"/>
              </w:rPr>
              <w:t>PP</w:t>
            </w:r>
          </w:p>
        </w:tc>
        <w:tc>
          <w:tcPr>
            <w:tcW w:w="621" w:type="dxa"/>
            <w:vAlign w:val="center"/>
          </w:tcPr>
          <w:p w14:paraId="029674E5" w14:textId="3F9CD43C" w:rsidR="00FF1778" w:rsidRPr="00406948" w:rsidRDefault="000001EE" w:rsidP="00FF1778">
            <w:pPr>
              <w:jc w:val="center"/>
              <w:rPr>
                <w:sz w:val="18"/>
                <w:szCs w:val="18"/>
              </w:rPr>
            </w:pPr>
            <w:r w:rsidRPr="00406948">
              <w:rPr>
                <w:sz w:val="18"/>
                <w:szCs w:val="18"/>
              </w:rPr>
              <w:t>83,52</w:t>
            </w:r>
          </w:p>
        </w:tc>
        <w:tc>
          <w:tcPr>
            <w:tcW w:w="621" w:type="dxa"/>
            <w:vAlign w:val="center"/>
          </w:tcPr>
          <w:p w14:paraId="610F1A47" w14:textId="2E422F67" w:rsidR="00FF1778" w:rsidRPr="00406948" w:rsidRDefault="000D42E4" w:rsidP="00FF1778">
            <w:pPr>
              <w:jc w:val="center"/>
              <w:rPr>
                <w:sz w:val="18"/>
                <w:szCs w:val="18"/>
              </w:rPr>
            </w:pPr>
            <w:r w:rsidRPr="00406948">
              <w:rPr>
                <w:sz w:val="18"/>
                <w:szCs w:val="18"/>
              </w:rPr>
              <w:t>14,09</w:t>
            </w:r>
          </w:p>
        </w:tc>
        <w:tc>
          <w:tcPr>
            <w:tcW w:w="624" w:type="dxa"/>
            <w:vAlign w:val="center"/>
          </w:tcPr>
          <w:p w14:paraId="1B7012A1" w14:textId="2C316750" w:rsidR="00FF1778" w:rsidRPr="00406948" w:rsidRDefault="00873C0B" w:rsidP="00FF1778">
            <w:pPr>
              <w:jc w:val="center"/>
              <w:rPr>
                <w:sz w:val="18"/>
                <w:szCs w:val="18"/>
              </w:rPr>
            </w:pPr>
            <w:r w:rsidRPr="00406948">
              <w:rPr>
                <w:sz w:val="18"/>
                <w:szCs w:val="18"/>
              </w:rPr>
              <w:t>0,18</w:t>
            </w:r>
          </w:p>
        </w:tc>
        <w:tc>
          <w:tcPr>
            <w:tcW w:w="621" w:type="dxa"/>
            <w:vAlign w:val="center"/>
          </w:tcPr>
          <w:p w14:paraId="35876622" w14:textId="3E587EA5" w:rsidR="00FF1778" w:rsidRPr="00406948" w:rsidRDefault="00FE3B62" w:rsidP="00FF1778">
            <w:pPr>
              <w:jc w:val="center"/>
              <w:rPr>
                <w:sz w:val="18"/>
                <w:szCs w:val="18"/>
              </w:rPr>
            </w:pPr>
            <w:r w:rsidRPr="00406948">
              <w:rPr>
                <w:sz w:val="18"/>
                <w:szCs w:val="18"/>
              </w:rPr>
              <w:t>-</w:t>
            </w:r>
          </w:p>
        </w:tc>
        <w:tc>
          <w:tcPr>
            <w:tcW w:w="546" w:type="dxa"/>
            <w:vAlign w:val="center"/>
          </w:tcPr>
          <w:p w14:paraId="2665F04F" w14:textId="3AF64070" w:rsidR="00FF1778" w:rsidRPr="00406948" w:rsidRDefault="0002595A" w:rsidP="00FE3B62">
            <w:pPr>
              <w:jc w:val="center"/>
              <w:rPr>
                <w:sz w:val="18"/>
                <w:szCs w:val="18"/>
              </w:rPr>
            </w:pPr>
            <w:r>
              <w:rPr>
                <w:sz w:val="18"/>
                <w:szCs w:val="18"/>
              </w:rPr>
              <w:t>-</w:t>
            </w:r>
          </w:p>
        </w:tc>
      </w:tr>
      <w:tr w:rsidR="00912E3A" w14:paraId="5463B78A" w14:textId="77777777" w:rsidTr="00CA0D6F">
        <w:tc>
          <w:tcPr>
            <w:tcW w:w="1361" w:type="dxa"/>
          </w:tcPr>
          <w:p w14:paraId="739BFC5F" w14:textId="057A33EE" w:rsidR="00FF1778" w:rsidRPr="00406948" w:rsidRDefault="00FF1778" w:rsidP="00FF1778">
            <w:pPr>
              <w:ind w:firstLine="175"/>
              <w:rPr>
                <w:noProof/>
                <w:sz w:val="18"/>
                <w:szCs w:val="18"/>
                <w:lang w:eastAsia="es-CO"/>
              </w:rPr>
            </w:pPr>
            <w:r w:rsidRPr="00406948">
              <w:rPr>
                <w:noProof/>
                <w:sz w:val="18"/>
                <w:szCs w:val="18"/>
                <w:lang w:eastAsia="es-CO"/>
              </w:rPr>
              <w:t>PS</w:t>
            </w:r>
          </w:p>
        </w:tc>
        <w:tc>
          <w:tcPr>
            <w:tcW w:w="621" w:type="dxa"/>
            <w:vAlign w:val="center"/>
          </w:tcPr>
          <w:p w14:paraId="422DB024" w14:textId="05717FF7" w:rsidR="00FF1778" w:rsidRPr="00406948" w:rsidRDefault="000001EE" w:rsidP="00FF1778">
            <w:pPr>
              <w:jc w:val="center"/>
              <w:rPr>
                <w:sz w:val="18"/>
                <w:szCs w:val="18"/>
              </w:rPr>
            </w:pPr>
            <w:r w:rsidRPr="00406948">
              <w:rPr>
                <w:sz w:val="18"/>
                <w:szCs w:val="18"/>
              </w:rPr>
              <w:t>88,80</w:t>
            </w:r>
          </w:p>
        </w:tc>
        <w:tc>
          <w:tcPr>
            <w:tcW w:w="621" w:type="dxa"/>
            <w:vAlign w:val="center"/>
          </w:tcPr>
          <w:p w14:paraId="6DCB2792" w14:textId="36444220" w:rsidR="00FF1778" w:rsidRPr="00406948" w:rsidRDefault="000D42E4" w:rsidP="00FF1778">
            <w:pPr>
              <w:jc w:val="center"/>
              <w:rPr>
                <w:sz w:val="18"/>
                <w:szCs w:val="18"/>
              </w:rPr>
            </w:pPr>
            <w:r w:rsidRPr="00406948">
              <w:rPr>
                <w:sz w:val="18"/>
                <w:szCs w:val="18"/>
              </w:rPr>
              <w:t>8,29</w:t>
            </w:r>
          </w:p>
        </w:tc>
        <w:tc>
          <w:tcPr>
            <w:tcW w:w="624" w:type="dxa"/>
            <w:vAlign w:val="center"/>
          </w:tcPr>
          <w:p w14:paraId="25BA0BB8" w14:textId="158295ED" w:rsidR="00FF1778" w:rsidRPr="00406948" w:rsidRDefault="00873C0B" w:rsidP="00FF1778">
            <w:pPr>
              <w:jc w:val="center"/>
              <w:rPr>
                <w:sz w:val="18"/>
                <w:szCs w:val="18"/>
              </w:rPr>
            </w:pPr>
            <w:r w:rsidRPr="00406948">
              <w:rPr>
                <w:sz w:val="18"/>
                <w:szCs w:val="18"/>
              </w:rPr>
              <w:t>0,16</w:t>
            </w:r>
          </w:p>
        </w:tc>
        <w:tc>
          <w:tcPr>
            <w:tcW w:w="621" w:type="dxa"/>
            <w:vAlign w:val="center"/>
          </w:tcPr>
          <w:p w14:paraId="6D605919" w14:textId="63FF66AB" w:rsidR="00FF1778" w:rsidRPr="00406948" w:rsidRDefault="00FE3B62" w:rsidP="00FF1778">
            <w:pPr>
              <w:jc w:val="center"/>
              <w:rPr>
                <w:sz w:val="18"/>
                <w:szCs w:val="18"/>
              </w:rPr>
            </w:pPr>
            <w:r w:rsidRPr="00406948">
              <w:rPr>
                <w:sz w:val="18"/>
                <w:szCs w:val="18"/>
              </w:rPr>
              <w:t>-</w:t>
            </w:r>
          </w:p>
        </w:tc>
        <w:tc>
          <w:tcPr>
            <w:tcW w:w="546" w:type="dxa"/>
            <w:vAlign w:val="center"/>
          </w:tcPr>
          <w:p w14:paraId="24470A52" w14:textId="1412CB87" w:rsidR="00FF1778" w:rsidRPr="00406948" w:rsidRDefault="0002595A" w:rsidP="00FE3B62">
            <w:pPr>
              <w:jc w:val="center"/>
              <w:rPr>
                <w:sz w:val="18"/>
                <w:szCs w:val="18"/>
              </w:rPr>
            </w:pPr>
            <w:r>
              <w:rPr>
                <w:sz w:val="18"/>
                <w:szCs w:val="18"/>
              </w:rPr>
              <w:t>-</w:t>
            </w:r>
          </w:p>
        </w:tc>
      </w:tr>
      <w:tr w:rsidR="00406948" w14:paraId="50265035" w14:textId="7404E012" w:rsidTr="00CA0D6F">
        <w:tc>
          <w:tcPr>
            <w:tcW w:w="1361" w:type="dxa"/>
          </w:tcPr>
          <w:p w14:paraId="403AA656" w14:textId="42569F75" w:rsidR="00FF1778" w:rsidRPr="00406948" w:rsidRDefault="00FF1778" w:rsidP="00FF1778">
            <w:pPr>
              <w:rPr>
                <w:sz w:val="18"/>
                <w:szCs w:val="18"/>
              </w:rPr>
            </w:pPr>
            <w:r w:rsidRPr="00406948">
              <w:rPr>
                <w:noProof/>
                <w:sz w:val="18"/>
                <w:szCs w:val="18"/>
                <w:lang w:eastAsia="es-CO"/>
              </w:rPr>
              <w:t>Madera</w:t>
            </w:r>
          </w:p>
        </w:tc>
        <w:tc>
          <w:tcPr>
            <w:tcW w:w="621" w:type="dxa"/>
            <w:vAlign w:val="center"/>
          </w:tcPr>
          <w:p w14:paraId="250C1174" w14:textId="33BF868F" w:rsidR="00FF1778" w:rsidRPr="00406948" w:rsidRDefault="000001EE" w:rsidP="00FF1778">
            <w:pPr>
              <w:jc w:val="center"/>
              <w:rPr>
                <w:sz w:val="18"/>
                <w:szCs w:val="18"/>
              </w:rPr>
            </w:pPr>
            <w:r w:rsidRPr="00406948">
              <w:rPr>
                <w:sz w:val="18"/>
                <w:szCs w:val="18"/>
              </w:rPr>
              <w:t>44,00</w:t>
            </w:r>
          </w:p>
        </w:tc>
        <w:tc>
          <w:tcPr>
            <w:tcW w:w="621" w:type="dxa"/>
            <w:vAlign w:val="center"/>
          </w:tcPr>
          <w:p w14:paraId="5B064B4F" w14:textId="76186E99" w:rsidR="00FF1778" w:rsidRPr="00406948" w:rsidRDefault="000D42E4" w:rsidP="00FF1778">
            <w:pPr>
              <w:jc w:val="center"/>
              <w:rPr>
                <w:sz w:val="18"/>
                <w:szCs w:val="18"/>
              </w:rPr>
            </w:pPr>
            <w:r w:rsidRPr="00406948">
              <w:rPr>
                <w:sz w:val="18"/>
                <w:szCs w:val="18"/>
              </w:rPr>
              <w:t>5,19</w:t>
            </w:r>
          </w:p>
        </w:tc>
        <w:tc>
          <w:tcPr>
            <w:tcW w:w="624" w:type="dxa"/>
            <w:vAlign w:val="center"/>
          </w:tcPr>
          <w:p w14:paraId="1B83EA12" w14:textId="7151F490" w:rsidR="00FF1778" w:rsidRPr="00406948" w:rsidRDefault="00873C0B" w:rsidP="00FF1778">
            <w:pPr>
              <w:jc w:val="center"/>
              <w:rPr>
                <w:sz w:val="18"/>
                <w:szCs w:val="18"/>
              </w:rPr>
            </w:pPr>
            <w:r w:rsidRPr="00406948">
              <w:rPr>
                <w:sz w:val="18"/>
                <w:szCs w:val="18"/>
              </w:rPr>
              <w:t>33,51</w:t>
            </w:r>
          </w:p>
        </w:tc>
        <w:tc>
          <w:tcPr>
            <w:tcW w:w="621" w:type="dxa"/>
            <w:vAlign w:val="center"/>
          </w:tcPr>
          <w:p w14:paraId="2EB77C3F" w14:textId="54BBAA84" w:rsidR="00FF1778" w:rsidRPr="00406948" w:rsidRDefault="00FE02F0" w:rsidP="00FF1778">
            <w:pPr>
              <w:jc w:val="center"/>
              <w:rPr>
                <w:sz w:val="18"/>
                <w:szCs w:val="18"/>
              </w:rPr>
            </w:pPr>
            <w:r w:rsidRPr="00406948">
              <w:rPr>
                <w:sz w:val="18"/>
                <w:szCs w:val="18"/>
              </w:rPr>
              <w:t>0,69</w:t>
            </w:r>
          </w:p>
        </w:tc>
        <w:tc>
          <w:tcPr>
            <w:tcW w:w="546" w:type="dxa"/>
            <w:vAlign w:val="center"/>
          </w:tcPr>
          <w:p w14:paraId="7A150F24" w14:textId="4F665ACB" w:rsidR="00FF1778" w:rsidRPr="00406948" w:rsidRDefault="00B31C5A" w:rsidP="00FE3B62">
            <w:pPr>
              <w:jc w:val="center"/>
              <w:rPr>
                <w:sz w:val="18"/>
                <w:szCs w:val="18"/>
              </w:rPr>
            </w:pPr>
            <w:r w:rsidRPr="00406948">
              <w:rPr>
                <w:sz w:val="18"/>
                <w:szCs w:val="18"/>
              </w:rPr>
              <w:t>0,07</w:t>
            </w:r>
          </w:p>
        </w:tc>
      </w:tr>
      <w:tr w:rsidR="00912E3A" w14:paraId="50E2D954" w14:textId="77777777" w:rsidTr="00CA0D6F">
        <w:tc>
          <w:tcPr>
            <w:tcW w:w="1361" w:type="dxa"/>
          </w:tcPr>
          <w:p w14:paraId="23767C7D" w14:textId="61445584" w:rsidR="00FF1778" w:rsidRPr="00406948" w:rsidRDefault="00FF1778" w:rsidP="00FF1778">
            <w:pPr>
              <w:rPr>
                <w:noProof/>
                <w:sz w:val="18"/>
                <w:szCs w:val="18"/>
                <w:lang w:eastAsia="es-CO"/>
              </w:rPr>
            </w:pPr>
            <w:r w:rsidRPr="00406948">
              <w:rPr>
                <w:noProof/>
                <w:sz w:val="18"/>
                <w:szCs w:val="18"/>
                <w:lang w:eastAsia="es-CO"/>
              </w:rPr>
              <w:t>Cuero y textiles</w:t>
            </w:r>
          </w:p>
        </w:tc>
        <w:tc>
          <w:tcPr>
            <w:tcW w:w="621" w:type="dxa"/>
            <w:vAlign w:val="center"/>
          </w:tcPr>
          <w:p w14:paraId="139288FA" w14:textId="7EE6419C" w:rsidR="00FF1778" w:rsidRPr="00406948" w:rsidRDefault="000001EE" w:rsidP="00FF1778">
            <w:pPr>
              <w:jc w:val="center"/>
              <w:rPr>
                <w:sz w:val="18"/>
                <w:szCs w:val="18"/>
              </w:rPr>
            </w:pPr>
            <w:r w:rsidRPr="00406948">
              <w:rPr>
                <w:sz w:val="18"/>
                <w:szCs w:val="18"/>
              </w:rPr>
              <w:t>42,36</w:t>
            </w:r>
          </w:p>
        </w:tc>
        <w:tc>
          <w:tcPr>
            <w:tcW w:w="621" w:type="dxa"/>
            <w:vAlign w:val="center"/>
          </w:tcPr>
          <w:p w14:paraId="779D8FD2" w14:textId="36596FCA" w:rsidR="00FF1778" w:rsidRPr="00406948" w:rsidRDefault="000D42E4" w:rsidP="00FF1778">
            <w:pPr>
              <w:jc w:val="center"/>
              <w:rPr>
                <w:sz w:val="18"/>
                <w:szCs w:val="18"/>
              </w:rPr>
            </w:pPr>
            <w:r w:rsidRPr="00406948">
              <w:rPr>
                <w:sz w:val="18"/>
                <w:szCs w:val="18"/>
              </w:rPr>
              <w:t>7,32</w:t>
            </w:r>
          </w:p>
        </w:tc>
        <w:tc>
          <w:tcPr>
            <w:tcW w:w="624" w:type="dxa"/>
            <w:vAlign w:val="center"/>
          </w:tcPr>
          <w:p w14:paraId="72A3638C" w14:textId="71B21228" w:rsidR="00FF1778" w:rsidRPr="00406948" w:rsidRDefault="00873C0B" w:rsidP="00FF1778">
            <w:pPr>
              <w:jc w:val="center"/>
              <w:rPr>
                <w:sz w:val="18"/>
                <w:szCs w:val="18"/>
              </w:rPr>
            </w:pPr>
            <w:r w:rsidRPr="00406948">
              <w:rPr>
                <w:sz w:val="18"/>
                <w:szCs w:val="18"/>
              </w:rPr>
              <w:t>19,00</w:t>
            </w:r>
          </w:p>
        </w:tc>
        <w:tc>
          <w:tcPr>
            <w:tcW w:w="621" w:type="dxa"/>
            <w:vAlign w:val="center"/>
          </w:tcPr>
          <w:p w14:paraId="012EE03C" w14:textId="2101D721" w:rsidR="00FF1778" w:rsidRPr="00406948" w:rsidRDefault="00FE02F0" w:rsidP="00FF1778">
            <w:pPr>
              <w:jc w:val="center"/>
              <w:rPr>
                <w:sz w:val="18"/>
                <w:szCs w:val="18"/>
              </w:rPr>
            </w:pPr>
            <w:r w:rsidRPr="00406948">
              <w:rPr>
                <w:sz w:val="18"/>
                <w:szCs w:val="18"/>
              </w:rPr>
              <w:t>10,67</w:t>
            </w:r>
          </w:p>
        </w:tc>
        <w:tc>
          <w:tcPr>
            <w:tcW w:w="546" w:type="dxa"/>
            <w:vAlign w:val="center"/>
          </w:tcPr>
          <w:p w14:paraId="7E5D0056" w14:textId="1718B641" w:rsidR="00FF1778" w:rsidRPr="00406948" w:rsidRDefault="00B31C5A" w:rsidP="00FE3B62">
            <w:pPr>
              <w:jc w:val="center"/>
              <w:rPr>
                <w:sz w:val="18"/>
                <w:szCs w:val="18"/>
              </w:rPr>
            </w:pPr>
            <w:r w:rsidRPr="00406948">
              <w:rPr>
                <w:sz w:val="18"/>
                <w:szCs w:val="18"/>
              </w:rPr>
              <w:t>1,57</w:t>
            </w:r>
          </w:p>
        </w:tc>
      </w:tr>
      <w:tr w:rsidR="00912E3A" w14:paraId="34BF9C80" w14:textId="77777777" w:rsidTr="00CA0D6F">
        <w:tc>
          <w:tcPr>
            <w:tcW w:w="1361" w:type="dxa"/>
          </w:tcPr>
          <w:p w14:paraId="4F44BD33" w14:textId="30FB0EE0" w:rsidR="00FF1778" w:rsidRPr="00876491" w:rsidRDefault="008E76A3" w:rsidP="00FF1778">
            <w:pPr>
              <w:rPr>
                <w:b/>
                <w:bCs/>
                <w:noProof/>
                <w:sz w:val="18"/>
                <w:szCs w:val="18"/>
                <w:lang w:eastAsia="es-CO"/>
              </w:rPr>
            </w:pPr>
            <w:r w:rsidRPr="00876491">
              <w:rPr>
                <w:b/>
                <w:bCs/>
                <w:noProof/>
                <w:sz w:val="18"/>
                <w:szCs w:val="18"/>
                <w:lang w:eastAsia="es-CO"/>
              </w:rPr>
              <w:t>Comp. másica</w:t>
            </w:r>
          </w:p>
        </w:tc>
        <w:tc>
          <w:tcPr>
            <w:tcW w:w="621" w:type="dxa"/>
            <w:vAlign w:val="center"/>
          </w:tcPr>
          <w:p w14:paraId="1B1B353B" w14:textId="0CE884C6" w:rsidR="00FF1778" w:rsidRPr="00876491" w:rsidRDefault="00B368D7" w:rsidP="00FF1778">
            <w:pPr>
              <w:jc w:val="center"/>
              <w:rPr>
                <w:b/>
                <w:bCs/>
                <w:sz w:val="18"/>
                <w:szCs w:val="18"/>
              </w:rPr>
            </w:pPr>
            <w:r w:rsidRPr="00876491">
              <w:rPr>
                <w:b/>
                <w:bCs/>
                <w:sz w:val="18"/>
                <w:szCs w:val="18"/>
              </w:rPr>
              <w:t>27,91</w:t>
            </w:r>
          </w:p>
        </w:tc>
        <w:tc>
          <w:tcPr>
            <w:tcW w:w="621" w:type="dxa"/>
            <w:vAlign w:val="center"/>
          </w:tcPr>
          <w:p w14:paraId="7DD5DAE4" w14:textId="5000405A" w:rsidR="00FF1778" w:rsidRPr="00876491" w:rsidRDefault="000D42E4" w:rsidP="00FF1778">
            <w:pPr>
              <w:jc w:val="center"/>
              <w:rPr>
                <w:b/>
                <w:bCs/>
                <w:sz w:val="18"/>
                <w:szCs w:val="18"/>
              </w:rPr>
            </w:pPr>
            <w:r w:rsidRPr="00876491">
              <w:rPr>
                <w:b/>
                <w:bCs/>
                <w:sz w:val="18"/>
                <w:szCs w:val="18"/>
              </w:rPr>
              <w:t>3,66</w:t>
            </w:r>
          </w:p>
        </w:tc>
        <w:tc>
          <w:tcPr>
            <w:tcW w:w="624" w:type="dxa"/>
            <w:vAlign w:val="center"/>
          </w:tcPr>
          <w:p w14:paraId="103B6174" w14:textId="367FC86E" w:rsidR="00FF1778" w:rsidRPr="00876491" w:rsidRDefault="00E4649A" w:rsidP="00FF1778">
            <w:pPr>
              <w:jc w:val="center"/>
              <w:rPr>
                <w:b/>
                <w:bCs/>
                <w:sz w:val="18"/>
                <w:szCs w:val="18"/>
              </w:rPr>
            </w:pPr>
            <w:r w:rsidRPr="00876491">
              <w:rPr>
                <w:b/>
                <w:bCs/>
                <w:sz w:val="18"/>
                <w:szCs w:val="18"/>
              </w:rPr>
              <w:t>14,75</w:t>
            </w:r>
          </w:p>
        </w:tc>
        <w:tc>
          <w:tcPr>
            <w:tcW w:w="621" w:type="dxa"/>
            <w:vAlign w:val="center"/>
          </w:tcPr>
          <w:p w14:paraId="51166619" w14:textId="227CAB2E" w:rsidR="00FF1778" w:rsidRPr="00876491" w:rsidRDefault="007B3321" w:rsidP="00FF1778">
            <w:pPr>
              <w:jc w:val="center"/>
              <w:rPr>
                <w:b/>
                <w:bCs/>
                <w:sz w:val="18"/>
                <w:szCs w:val="18"/>
              </w:rPr>
            </w:pPr>
            <w:r w:rsidRPr="00876491">
              <w:rPr>
                <w:b/>
                <w:bCs/>
                <w:sz w:val="18"/>
                <w:szCs w:val="18"/>
              </w:rPr>
              <w:t>1,12</w:t>
            </w:r>
          </w:p>
        </w:tc>
        <w:tc>
          <w:tcPr>
            <w:tcW w:w="546" w:type="dxa"/>
            <w:vAlign w:val="center"/>
          </w:tcPr>
          <w:p w14:paraId="6357A772" w14:textId="2E8B36C8" w:rsidR="00FF1778" w:rsidRPr="00876491" w:rsidRDefault="00B31C5A" w:rsidP="00FE3B62">
            <w:pPr>
              <w:jc w:val="center"/>
              <w:rPr>
                <w:b/>
                <w:bCs/>
                <w:sz w:val="18"/>
                <w:szCs w:val="18"/>
              </w:rPr>
            </w:pPr>
            <w:r w:rsidRPr="00876491">
              <w:rPr>
                <w:b/>
                <w:bCs/>
                <w:sz w:val="18"/>
                <w:szCs w:val="18"/>
              </w:rPr>
              <w:t>0,</w:t>
            </w:r>
            <w:r w:rsidR="00861C07" w:rsidRPr="00876491">
              <w:rPr>
                <w:b/>
                <w:bCs/>
                <w:sz w:val="18"/>
                <w:szCs w:val="18"/>
              </w:rPr>
              <w:t>21</w:t>
            </w:r>
          </w:p>
        </w:tc>
      </w:tr>
    </w:tbl>
    <w:p w14:paraId="0EF7BAC5" w14:textId="250A6679" w:rsidR="00692049" w:rsidRPr="00297F17" w:rsidRDefault="00D73430" w:rsidP="00297F17">
      <w:pPr>
        <w:pStyle w:val="Descripcin"/>
        <w:rPr>
          <w:sz w:val="18"/>
          <w:szCs w:val="16"/>
        </w:rPr>
      </w:pPr>
      <w:r w:rsidRPr="00297F17">
        <w:rPr>
          <w:sz w:val="18"/>
          <w:szCs w:val="16"/>
        </w:rPr>
        <w:t>Fuente: base de datos Phyllis2</w:t>
      </w:r>
      <w:r w:rsidR="0032719B">
        <w:rPr>
          <w:sz w:val="18"/>
          <w:szCs w:val="16"/>
        </w:rPr>
        <w:t xml:space="preserve"> [26].</w:t>
      </w:r>
    </w:p>
    <w:p w14:paraId="6F4919F2" w14:textId="661009EC" w:rsidR="00BD1516" w:rsidRDefault="00E6542A" w:rsidP="006D5EF5">
      <w:pPr>
        <w:pStyle w:val="Ttulo2"/>
      </w:pPr>
      <w:r>
        <w:t xml:space="preserve">Incineración de residuos </w:t>
      </w:r>
      <w:r w:rsidR="00032901">
        <w:t>y ciclo termodinámico</w:t>
      </w:r>
    </w:p>
    <w:p w14:paraId="7A4B6ABC" w14:textId="2E7CB65B" w:rsidR="003A4FE0" w:rsidRDefault="00242598" w:rsidP="009802FC">
      <w:r>
        <w:t xml:space="preserve">La incineración de residuos </w:t>
      </w:r>
      <w:r w:rsidR="004520B2">
        <w:t>es un proceso caracterizado por la oxidación completa</w:t>
      </w:r>
      <w:r w:rsidR="0097799B">
        <w:t xml:space="preserve"> de todos los componentes combustibles. </w:t>
      </w:r>
      <w:r w:rsidR="009577F8">
        <w:t xml:space="preserve">Los </w:t>
      </w:r>
      <w:r w:rsidR="00FB662D">
        <w:t xml:space="preserve">residuos son una compleja mezcla de materiales </w:t>
      </w:r>
      <w:r w:rsidR="002125B0">
        <w:t>de diferentes características físicas y químicas de tamaño variabl</w:t>
      </w:r>
      <w:r w:rsidR="0079198B">
        <w:t xml:space="preserve">e, afectando el tiempo de combustión </w:t>
      </w:r>
      <w:r w:rsidR="00990817">
        <w:t>[19]</w:t>
      </w:r>
      <w:r w:rsidR="0079198B">
        <w:t>.</w:t>
      </w:r>
      <w:r w:rsidR="00585DCC">
        <w:t xml:space="preserve"> </w:t>
      </w:r>
      <w:r w:rsidR="00064CB5">
        <w:t>L</w:t>
      </w:r>
      <w:r w:rsidR="001D2C8F">
        <w:t>os productos de la combustión, gases de combustión, deben tener un tiempo de residencia</w:t>
      </w:r>
      <w:r w:rsidR="002A7024">
        <w:t xml:space="preserve"> de</w:t>
      </w:r>
      <w:r w:rsidR="00814DA6">
        <w:t>,</w:t>
      </w:r>
      <w:r w:rsidR="002A7024">
        <w:t xml:space="preserve"> al menos</w:t>
      </w:r>
      <w:r w:rsidR="00814DA6">
        <w:t>,</w:t>
      </w:r>
      <w:r w:rsidR="002A7024">
        <w:t xml:space="preserve"> dos segundos a una temperatura </w:t>
      </w:r>
      <w:r w:rsidR="00814DA6">
        <w:t>no menor de 850°C, o de 1.100°C para el caso de residuos peligrosos</w:t>
      </w:r>
      <w:r w:rsidR="00064CB5">
        <w:t xml:space="preserve"> </w:t>
      </w:r>
      <w:r w:rsidR="009A0139">
        <w:t>[28]</w:t>
      </w:r>
      <w:r w:rsidR="00814DA6">
        <w:t>.</w:t>
      </w:r>
      <w:r w:rsidR="003A3842">
        <w:t xml:space="preserve"> </w:t>
      </w:r>
      <w:r w:rsidR="00854DC0">
        <w:t xml:space="preserve">Los RSU </w:t>
      </w:r>
      <w:r w:rsidR="007D5BD6">
        <w:t>pueden ser incinerados</w:t>
      </w:r>
      <w:r w:rsidR="000D7F8F">
        <w:t xml:space="preserve"> en de parrillas móviles, rotativos</w:t>
      </w:r>
      <w:r w:rsidR="005E032A">
        <w:t xml:space="preserve"> y lechos fluidizados.</w:t>
      </w:r>
      <w:r w:rsidR="003825E9">
        <w:t xml:space="preserve"> Los hornos de parrillas móviles </w:t>
      </w:r>
      <w:r w:rsidR="00AB05CF">
        <w:t>se utilizan en aproximadamente el 90% de las plantas de incineración europeas</w:t>
      </w:r>
      <w:r w:rsidR="00FF39E7">
        <w:t xml:space="preserve">; los hornos rotatorios </w:t>
      </w:r>
      <w:r w:rsidR="00987580">
        <w:t>son particularmente utilizados para la incineración de residuos peligrosos</w:t>
      </w:r>
      <w:r w:rsidR="00036D03">
        <w:t xml:space="preserve"> y el rango operativo de temperaturas es de 500°C a </w:t>
      </w:r>
      <w:r w:rsidR="006430F0">
        <w:t>1450°C; los lechos fluidizados</w:t>
      </w:r>
      <w:r w:rsidR="00136A5C">
        <w:t xml:space="preserve"> </w:t>
      </w:r>
      <w:r w:rsidR="00C15EB5">
        <w:t xml:space="preserve">se caracterizan </w:t>
      </w:r>
      <w:r w:rsidR="00080E70">
        <w:t xml:space="preserve">por ser alimentados </w:t>
      </w:r>
      <w:r w:rsidR="00C964BE">
        <w:t>con</w:t>
      </w:r>
      <w:r w:rsidR="00080E70">
        <w:t xml:space="preserve"> residuos </w:t>
      </w:r>
      <w:r w:rsidR="00003AE5">
        <w:t>homogéneos, no mezclados</w:t>
      </w:r>
      <w:r w:rsidR="002347AD">
        <w:t xml:space="preserve">; </w:t>
      </w:r>
      <w:r w:rsidR="00CA71E7">
        <w:t>proporcionan temperaturas y concentración de oxígeno</w:t>
      </w:r>
      <w:r w:rsidR="0039433B">
        <w:t xml:space="preserve"> uniformes; sin embargo, la separación </w:t>
      </w:r>
      <w:r w:rsidR="000008D7">
        <w:t xml:space="preserve">anterior a la combustión </w:t>
      </w:r>
      <w:r w:rsidR="0039433B">
        <w:t xml:space="preserve">de </w:t>
      </w:r>
      <w:r w:rsidR="002F3686">
        <w:t xml:space="preserve">los </w:t>
      </w:r>
      <w:r w:rsidR="0039433B">
        <w:t xml:space="preserve">componentes </w:t>
      </w:r>
      <w:r w:rsidR="002F3686">
        <w:t xml:space="preserve">de los RSU encarecen su uso </w:t>
      </w:r>
      <w:r w:rsidR="009A0139">
        <w:t>[28]</w:t>
      </w:r>
      <w:r w:rsidR="002379A9">
        <w:t>.</w:t>
      </w:r>
    </w:p>
    <w:p w14:paraId="74683BDE" w14:textId="4DB48629" w:rsidR="00962C05" w:rsidRDefault="00962C05" w:rsidP="00962C05">
      <w:pPr>
        <w:pStyle w:val="Ttulo3"/>
      </w:pPr>
      <w:r>
        <w:t>Ciclo termodinámico</w:t>
      </w:r>
    </w:p>
    <w:p w14:paraId="05ACF75D" w14:textId="237F92D1" w:rsidR="001657E3" w:rsidRDefault="00E82FF2" w:rsidP="00375C58">
      <w:pPr>
        <w:rPr>
          <w:rFonts w:eastAsiaTheme="minorEastAsia"/>
        </w:rPr>
      </w:pPr>
      <w:r>
        <w:rPr>
          <w:rFonts w:eastAsiaTheme="minorEastAsia"/>
        </w:rPr>
        <w:t xml:space="preserve">El </w:t>
      </w:r>
      <w:r w:rsidR="007E0808">
        <w:rPr>
          <w:rFonts w:eastAsiaTheme="minorEastAsia"/>
        </w:rPr>
        <w:t xml:space="preserve">proceso de </w:t>
      </w:r>
      <w:r>
        <w:rPr>
          <w:rFonts w:eastAsiaTheme="minorEastAsia"/>
        </w:rPr>
        <w:t xml:space="preserve">recalentamiento </w:t>
      </w:r>
      <w:r w:rsidR="007E0808">
        <w:rPr>
          <w:rFonts w:eastAsiaTheme="minorEastAsia"/>
        </w:rPr>
        <w:t xml:space="preserve">es una vía para mejorar el rendimiento de las plantas de incineración de residuos; </w:t>
      </w:r>
      <w:r w:rsidR="00723708">
        <w:rPr>
          <w:rFonts w:eastAsiaTheme="minorEastAsia"/>
        </w:rPr>
        <w:t xml:space="preserve">el vapor </w:t>
      </w:r>
      <w:r w:rsidR="00CD7994">
        <w:rPr>
          <w:rFonts w:eastAsiaTheme="minorEastAsia"/>
        </w:rPr>
        <w:t xml:space="preserve">a una presión intermedia es vuelto a calentar </w:t>
      </w:r>
      <w:r w:rsidR="000E02FA">
        <w:rPr>
          <w:rFonts w:eastAsiaTheme="minorEastAsia"/>
        </w:rPr>
        <w:t xml:space="preserve">alejando </w:t>
      </w:r>
      <w:r w:rsidR="00F836B0">
        <w:rPr>
          <w:rFonts w:eastAsiaTheme="minorEastAsia"/>
        </w:rPr>
        <w:t>la curva de expansión</w:t>
      </w:r>
      <w:r w:rsidR="004D47F6">
        <w:rPr>
          <w:rFonts w:eastAsiaTheme="minorEastAsia"/>
        </w:rPr>
        <w:t xml:space="preserve"> del punto </w:t>
      </w:r>
      <w:r w:rsidR="00625B6F">
        <w:rPr>
          <w:rFonts w:eastAsiaTheme="minorEastAsia"/>
        </w:rPr>
        <w:t>de saturación</w:t>
      </w:r>
      <w:r w:rsidR="00D10F70">
        <w:rPr>
          <w:rFonts w:eastAsiaTheme="minorEastAsia"/>
        </w:rPr>
        <w:t xml:space="preserve">. Supone </w:t>
      </w:r>
      <w:r w:rsidR="00DA2E12">
        <w:rPr>
          <w:rFonts w:eastAsiaTheme="minorEastAsia"/>
        </w:rPr>
        <w:t xml:space="preserve">una solución práctica al problema de exceso de humedad en turbinas </w:t>
      </w:r>
      <w:r w:rsidR="005C655A">
        <w:rPr>
          <w:rFonts w:eastAsiaTheme="minorEastAsia"/>
        </w:rPr>
        <w:t>[29]</w:t>
      </w:r>
      <w:r w:rsidR="00EE5946">
        <w:rPr>
          <w:rFonts w:eastAsiaTheme="minorEastAsia"/>
        </w:rPr>
        <w:t xml:space="preserve">. </w:t>
      </w:r>
      <w:r w:rsidR="00D8084D">
        <w:rPr>
          <w:rFonts w:eastAsiaTheme="minorEastAsia"/>
        </w:rPr>
        <w:t xml:space="preserve">La </w:t>
      </w:r>
      <w:r w:rsidR="00D8084D">
        <w:rPr>
          <w:rFonts w:eastAsiaTheme="minorEastAsia"/>
        </w:rPr>
        <w:fldChar w:fldCharType="begin"/>
      </w:r>
      <w:r w:rsidR="00D8084D">
        <w:rPr>
          <w:rFonts w:eastAsiaTheme="minorEastAsia"/>
        </w:rPr>
        <w:instrText xml:space="preserve"> REF _Ref108552517 \h </w:instrText>
      </w:r>
      <w:r w:rsidR="00D8084D">
        <w:rPr>
          <w:rFonts w:eastAsiaTheme="minorEastAsia"/>
        </w:rPr>
      </w:r>
      <w:r w:rsidR="00D8084D">
        <w:rPr>
          <w:rFonts w:eastAsiaTheme="minorEastAsia"/>
        </w:rPr>
        <w:fldChar w:fldCharType="separate"/>
      </w:r>
      <w:r w:rsidR="00D8084D">
        <w:t xml:space="preserve">Figura </w:t>
      </w:r>
      <w:r w:rsidR="00D8084D">
        <w:rPr>
          <w:noProof/>
        </w:rPr>
        <w:t>2</w:t>
      </w:r>
      <w:r w:rsidR="00D8084D">
        <w:rPr>
          <w:rFonts w:eastAsiaTheme="minorEastAsia"/>
        </w:rPr>
        <w:fldChar w:fldCharType="end"/>
      </w:r>
      <w:r w:rsidR="00D8084D">
        <w:rPr>
          <w:rFonts w:eastAsiaTheme="minorEastAsia"/>
        </w:rPr>
        <w:t xml:space="preserve"> muestra el diagrama T-s del ciclo </w:t>
      </w:r>
      <w:r w:rsidR="007A5047">
        <w:rPr>
          <w:rFonts w:eastAsiaTheme="minorEastAsia"/>
        </w:rPr>
        <w:t xml:space="preserve">de cogeneración </w:t>
      </w:r>
      <w:r w:rsidR="00D8084D">
        <w:rPr>
          <w:rFonts w:eastAsiaTheme="minorEastAsia"/>
        </w:rPr>
        <w:t xml:space="preserve">propuesto y la </w:t>
      </w:r>
      <w:r w:rsidR="00D8084D">
        <w:rPr>
          <w:rFonts w:eastAsiaTheme="minorEastAsia"/>
        </w:rPr>
        <w:fldChar w:fldCharType="begin"/>
      </w:r>
      <w:r w:rsidR="00D8084D">
        <w:rPr>
          <w:rFonts w:eastAsiaTheme="minorEastAsia"/>
        </w:rPr>
        <w:instrText xml:space="preserve"> REF _Ref110312071 \h </w:instrText>
      </w:r>
      <w:r w:rsidR="00D8084D">
        <w:rPr>
          <w:rFonts w:eastAsiaTheme="minorEastAsia"/>
        </w:rPr>
      </w:r>
      <w:r w:rsidR="00D8084D">
        <w:rPr>
          <w:rFonts w:eastAsiaTheme="minorEastAsia"/>
        </w:rPr>
        <w:fldChar w:fldCharType="separate"/>
      </w:r>
      <w:r w:rsidR="00D8084D">
        <w:t xml:space="preserve">Figura </w:t>
      </w:r>
      <w:r w:rsidR="00D8084D">
        <w:rPr>
          <w:noProof/>
        </w:rPr>
        <w:t>3</w:t>
      </w:r>
      <w:r w:rsidR="00D8084D">
        <w:rPr>
          <w:rFonts w:eastAsiaTheme="minorEastAsia"/>
        </w:rPr>
        <w:fldChar w:fldCharType="end"/>
      </w:r>
      <w:r w:rsidR="00D8084D">
        <w:rPr>
          <w:rFonts w:eastAsiaTheme="minorEastAsia"/>
        </w:rPr>
        <w:t xml:space="preserve"> representa el esquema de configuración de la planta. </w:t>
      </w:r>
    </w:p>
    <w:p w14:paraId="41F1B1D8" w14:textId="7040726C" w:rsidR="005C7886" w:rsidRDefault="005C7886" w:rsidP="00375C58">
      <w:pPr>
        <w:rPr>
          <w:rFonts w:eastAsiaTheme="minorEastAsia"/>
        </w:rPr>
      </w:pPr>
    </w:p>
    <w:p w14:paraId="737299F5" w14:textId="79106534" w:rsidR="005C7886" w:rsidRDefault="00BC6911" w:rsidP="00BC6911">
      <w:pPr>
        <w:jc w:val="center"/>
        <w:rPr>
          <w:rFonts w:eastAsiaTheme="minorEastAsia"/>
        </w:rPr>
      </w:pPr>
      <w:r w:rsidRPr="00BC6911">
        <w:rPr>
          <w:rFonts w:eastAsiaTheme="minorEastAsia"/>
          <w:noProof/>
        </w:rPr>
        <w:drawing>
          <wp:inline distT="0" distB="0" distL="0" distR="0" wp14:anchorId="05077235" wp14:editId="38E5931C">
            <wp:extent cx="2773045" cy="2119630"/>
            <wp:effectExtent l="19050" t="19050" r="27305" b="13970"/>
            <wp:docPr id="59" name="Imagen 59"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n 59" descr="Diagrama&#10;&#10;Descripción generada automáticamente"/>
                    <pic:cNvPicPr/>
                  </pic:nvPicPr>
                  <pic:blipFill>
                    <a:blip r:embed="rId12"/>
                    <a:stretch>
                      <a:fillRect/>
                    </a:stretch>
                  </pic:blipFill>
                  <pic:spPr>
                    <a:xfrm>
                      <a:off x="0" y="0"/>
                      <a:ext cx="2773045" cy="2119630"/>
                    </a:xfrm>
                    <a:prstGeom prst="rect">
                      <a:avLst/>
                    </a:prstGeom>
                    <a:ln w="3175">
                      <a:solidFill>
                        <a:schemeClr val="tx1"/>
                      </a:solidFill>
                    </a:ln>
                  </pic:spPr>
                </pic:pic>
              </a:graphicData>
            </a:graphic>
          </wp:inline>
        </w:drawing>
      </w:r>
    </w:p>
    <w:p w14:paraId="179FD4B9" w14:textId="6610287A" w:rsidR="005C7886" w:rsidRDefault="005C7886" w:rsidP="0034634B">
      <w:pPr>
        <w:pStyle w:val="Fuentefigurasytablas"/>
      </w:pPr>
      <w:r w:rsidRPr="009C6FA4">
        <w:rPr>
          <w:b/>
          <w:bCs/>
        </w:rPr>
        <w:t xml:space="preserve">Figura </w:t>
      </w:r>
      <w:r w:rsidRPr="009C6FA4">
        <w:rPr>
          <w:b/>
          <w:bCs/>
        </w:rPr>
        <w:fldChar w:fldCharType="begin"/>
      </w:r>
      <w:r w:rsidRPr="009C6FA4">
        <w:rPr>
          <w:b/>
          <w:bCs/>
        </w:rPr>
        <w:instrText xml:space="preserve"> SEQ Figura \* ARABIC </w:instrText>
      </w:r>
      <w:r w:rsidRPr="009C6FA4">
        <w:rPr>
          <w:b/>
          <w:bCs/>
        </w:rPr>
        <w:fldChar w:fldCharType="separate"/>
      </w:r>
      <w:r w:rsidRPr="009C6FA4">
        <w:rPr>
          <w:b/>
          <w:bCs/>
          <w:noProof/>
        </w:rPr>
        <w:t>2</w:t>
      </w:r>
      <w:r w:rsidRPr="009C6FA4">
        <w:rPr>
          <w:b/>
          <w:bCs/>
          <w:noProof/>
        </w:rPr>
        <w:fldChar w:fldCharType="end"/>
      </w:r>
      <w:r w:rsidRPr="009C6FA4">
        <w:rPr>
          <w:b/>
          <w:bCs/>
          <w:noProof/>
        </w:rPr>
        <w:t>.</w:t>
      </w:r>
      <w:r w:rsidRPr="009C6FA4">
        <w:t xml:space="preserve"> Diagrama T-s del ciclo de recalentamiento. Fuente: elaboración propia.</w:t>
      </w:r>
    </w:p>
    <w:p w14:paraId="14EDB1CE" w14:textId="06538713" w:rsidR="00623F87" w:rsidRDefault="00623F87" w:rsidP="00623F87">
      <w:r w:rsidRPr="00623F87">
        <w:t xml:space="preserve">La </w:t>
      </w:r>
      <w:r w:rsidRPr="00623F87">
        <w:fldChar w:fldCharType="begin"/>
      </w:r>
      <w:r w:rsidRPr="00623F87">
        <w:instrText xml:space="preserve"> REF _Ref110488414 \h </w:instrText>
      </w:r>
      <w:r>
        <w:instrText xml:space="preserve"> \* MERGEFORMAT </w:instrText>
      </w:r>
      <w:r w:rsidRPr="00623F87">
        <w:fldChar w:fldCharType="separate"/>
      </w:r>
      <w:r>
        <w:t>Tabla 5</w:t>
      </w:r>
      <w:r w:rsidRPr="00623F87">
        <w:fldChar w:fldCharType="end"/>
      </w:r>
      <w:r w:rsidRPr="00623F87">
        <w:t xml:space="preserve"> resume los parámetros operativos del ciclo. La temperatura ambiente, T</w:t>
      </w:r>
      <w:r w:rsidRPr="001A6ED5">
        <w:rPr>
          <w:vertAlign w:val="subscript"/>
        </w:rPr>
        <w:t>amb</w:t>
      </w:r>
      <w:r w:rsidRPr="00623F87">
        <w:t xml:space="preserve">, de la comuna oscila entre 7°C en los meses más fríos y lluviosos (junio-agosto) y 15°C en los meses más cálidos (diciembre-marzo). La humedad relativa, HR, varía en un rango de 93,67% en invierno a 70% en verano [30]. La presión </w:t>
      </w:r>
      <w:r w:rsidRPr="00623F87">
        <w:lastRenderedPageBreak/>
        <w:t>máxima del ciclo termodinámico, P</w:t>
      </w:r>
      <w:r w:rsidRPr="001A6ED5">
        <w:rPr>
          <w:vertAlign w:val="subscript"/>
        </w:rPr>
        <w:t>max</w:t>
      </w:r>
      <w:r w:rsidRPr="00623F87">
        <w:t>, de 40 bar y temperatura máxima, T</w:t>
      </w:r>
      <w:r w:rsidRPr="001A6ED5">
        <w:rPr>
          <w:vertAlign w:val="subscript"/>
        </w:rPr>
        <w:t>max</w:t>
      </w:r>
      <w:r w:rsidRPr="00623F87">
        <w:t>, de 400°C se escogen ya que son los parámetros de operación más frecuentes en procesos de incineración de RSU [28] pudiendo oscilar alrededor de ellos; sin embargo, para minimizar problemas operativos derivados de la corrosión, se suelen establecer en torno a ese valor [27]. Elevadas temperaturas pueden ocasionar severos problemas de corrosión en los conductos de sobrecalentadores [31].</w:t>
      </w:r>
    </w:p>
    <w:p w14:paraId="4D719C53" w14:textId="77777777" w:rsidR="004B768B" w:rsidRPr="00623F87" w:rsidRDefault="004B768B" w:rsidP="00623F87"/>
    <w:p w14:paraId="5E422698" w14:textId="33EEE551" w:rsidR="005C7886" w:rsidRDefault="00FD3B4D" w:rsidP="00375C58">
      <w:pPr>
        <w:rPr>
          <w:rFonts w:eastAsiaTheme="minorEastAsia"/>
        </w:rPr>
      </w:pPr>
      <w:r w:rsidRPr="00FD3B4D">
        <w:rPr>
          <w:rFonts w:eastAsiaTheme="minorEastAsia"/>
          <w:noProof/>
        </w:rPr>
        <w:drawing>
          <wp:inline distT="0" distB="0" distL="0" distR="0" wp14:anchorId="6EE0122A" wp14:editId="7665EDB3">
            <wp:extent cx="2773045" cy="1962785"/>
            <wp:effectExtent l="19050" t="19050" r="27305" b="18415"/>
            <wp:docPr id="1" name="Imagen 1"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 Esquemático&#10;&#10;Descripción generada automáticamente"/>
                    <pic:cNvPicPr/>
                  </pic:nvPicPr>
                  <pic:blipFill>
                    <a:blip r:embed="rId13"/>
                    <a:stretch>
                      <a:fillRect/>
                    </a:stretch>
                  </pic:blipFill>
                  <pic:spPr>
                    <a:xfrm>
                      <a:off x="0" y="0"/>
                      <a:ext cx="2773045" cy="1962785"/>
                    </a:xfrm>
                    <a:prstGeom prst="rect">
                      <a:avLst/>
                    </a:prstGeom>
                    <a:ln w="3175">
                      <a:solidFill>
                        <a:schemeClr val="tx1"/>
                      </a:solidFill>
                    </a:ln>
                  </pic:spPr>
                </pic:pic>
              </a:graphicData>
            </a:graphic>
          </wp:inline>
        </w:drawing>
      </w:r>
    </w:p>
    <w:p w14:paraId="5512554A" w14:textId="77777777" w:rsidR="00B611DE" w:rsidRPr="009C6FA4" w:rsidRDefault="00B611DE" w:rsidP="0034634B">
      <w:pPr>
        <w:pStyle w:val="Fuentefigurasytablas"/>
        <w:rPr>
          <w:rFonts w:eastAsiaTheme="minorEastAsia"/>
        </w:rPr>
      </w:pPr>
      <w:r w:rsidRPr="009C6FA4">
        <w:rPr>
          <w:b/>
          <w:bCs/>
        </w:rPr>
        <w:t xml:space="preserve">Figura </w:t>
      </w:r>
      <w:r w:rsidRPr="009C6FA4">
        <w:rPr>
          <w:b/>
          <w:bCs/>
        </w:rPr>
        <w:fldChar w:fldCharType="begin"/>
      </w:r>
      <w:r w:rsidRPr="009C6FA4">
        <w:rPr>
          <w:b/>
          <w:bCs/>
        </w:rPr>
        <w:instrText xml:space="preserve"> SEQ Figura \* ARABIC </w:instrText>
      </w:r>
      <w:r w:rsidRPr="009C6FA4">
        <w:rPr>
          <w:b/>
          <w:bCs/>
        </w:rPr>
        <w:fldChar w:fldCharType="separate"/>
      </w:r>
      <w:r w:rsidRPr="009C6FA4">
        <w:rPr>
          <w:b/>
          <w:bCs/>
          <w:noProof/>
        </w:rPr>
        <w:t>3</w:t>
      </w:r>
      <w:r w:rsidRPr="009C6FA4">
        <w:rPr>
          <w:b/>
          <w:bCs/>
          <w:noProof/>
        </w:rPr>
        <w:fldChar w:fldCharType="end"/>
      </w:r>
      <w:r w:rsidRPr="009C6FA4">
        <w:rPr>
          <w:b/>
          <w:bCs/>
          <w:noProof/>
        </w:rPr>
        <w:t>.</w:t>
      </w:r>
      <w:r w:rsidRPr="009C6FA4">
        <w:t xml:space="preserve"> Ciclo termodinámico con recalentamiento. Fuente: elaboración propia.</w:t>
      </w:r>
    </w:p>
    <w:p w14:paraId="223389A7" w14:textId="3C90FCFA" w:rsidR="001657E3" w:rsidRPr="00DA255A" w:rsidRDefault="007631D6" w:rsidP="003051D4">
      <w:pPr>
        <w:pStyle w:val="TablaTtulo"/>
        <w:spacing w:after="200"/>
        <w:rPr>
          <w:sz w:val="18"/>
          <w:szCs w:val="16"/>
        </w:rPr>
      </w:pPr>
      <w:bookmarkStart w:id="11" w:name="_Ref110488414"/>
      <w:r w:rsidRPr="00DA255A">
        <w:rPr>
          <w:sz w:val="18"/>
          <w:szCs w:val="16"/>
        </w:rPr>
        <w:t xml:space="preserve">Tabla </w:t>
      </w:r>
      <w:r w:rsidR="005C0089" w:rsidRPr="00DA255A">
        <w:rPr>
          <w:sz w:val="18"/>
          <w:szCs w:val="16"/>
        </w:rPr>
        <w:fldChar w:fldCharType="begin"/>
      </w:r>
      <w:r w:rsidR="005C0089" w:rsidRPr="00DA255A">
        <w:rPr>
          <w:sz w:val="18"/>
          <w:szCs w:val="16"/>
        </w:rPr>
        <w:instrText xml:space="preserve"> SEQ Tabla \* ARABIC </w:instrText>
      </w:r>
      <w:r w:rsidR="005C0089" w:rsidRPr="00DA255A">
        <w:rPr>
          <w:sz w:val="18"/>
          <w:szCs w:val="16"/>
        </w:rPr>
        <w:fldChar w:fldCharType="separate"/>
      </w:r>
      <w:r w:rsidR="00DE0071" w:rsidRPr="00DA255A">
        <w:rPr>
          <w:sz w:val="18"/>
          <w:szCs w:val="16"/>
        </w:rPr>
        <w:t>5</w:t>
      </w:r>
      <w:r w:rsidR="005C0089" w:rsidRPr="00DA255A">
        <w:rPr>
          <w:sz w:val="18"/>
          <w:szCs w:val="16"/>
        </w:rPr>
        <w:fldChar w:fldCharType="end"/>
      </w:r>
      <w:bookmarkEnd w:id="11"/>
      <w:r w:rsidRPr="00DA255A">
        <w:rPr>
          <w:sz w:val="18"/>
          <w:szCs w:val="16"/>
        </w:rPr>
        <w:t xml:space="preserve"> Parámetros operativos </w:t>
      </w:r>
      <w:r w:rsidR="00D35C87" w:rsidRPr="00DA255A">
        <w:rPr>
          <w:sz w:val="18"/>
          <w:szCs w:val="16"/>
        </w:rPr>
        <w:t>de la planta</w:t>
      </w:r>
    </w:p>
    <w:tbl>
      <w:tblPr>
        <w:tblStyle w:val="Tablaconcuadrcula"/>
        <w:tblW w:w="4248" w:type="dxa"/>
        <w:tblLayout w:type="fixed"/>
        <w:tblLook w:val="04A0" w:firstRow="1" w:lastRow="0" w:firstColumn="1" w:lastColumn="0" w:noHBand="0" w:noVBand="1"/>
      </w:tblPr>
      <w:tblGrid>
        <w:gridCol w:w="3114"/>
        <w:gridCol w:w="1134"/>
      </w:tblGrid>
      <w:tr w:rsidR="004E443E" w14:paraId="7689EB52" w14:textId="77777777" w:rsidTr="00FA0412">
        <w:tc>
          <w:tcPr>
            <w:tcW w:w="3114" w:type="dxa"/>
            <w:tcBorders>
              <w:left w:val="single" w:sz="4" w:space="0" w:color="auto"/>
              <w:right w:val="single" w:sz="4" w:space="0" w:color="auto"/>
            </w:tcBorders>
            <w:shd w:val="clear" w:color="auto" w:fill="E7E6E6" w:themeFill="background2"/>
          </w:tcPr>
          <w:p w14:paraId="5C4EFFF8" w14:textId="07A664D9" w:rsidR="004E443E" w:rsidRDefault="00891FE2">
            <w:pPr>
              <w:rPr>
                <w:noProof/>
                <w:lang w:eastAsia="es-CO"/>
              </w:rPr>
            </w:pPr>
            <w:r>
              <w:rPr>
                <w:noProof/>
                <w:lang w:eastAsia="es-CO"/>
              </w:rPr>
              <w:t>Parámetro</w:t>
            </w:r>
          </w:p>
        </w:tc>
        <w:tc>
          <w:tcPr>
            <w:tcW w:w="1134" w:type="dxa"/>
            <w:tcBorders>
              <w:left w:val="single" w:sz="4" w:space="0" w:color="auto"/>
              <w:right w:val="single" w:sz="4" w:space="0" w:color="auto"/>
            </w:tcBorders>
            <w:shd w:val="clear" w:color="auto" w:fill="E7E6E6" w:themeFill="background2"/>
          </w:tcPr>
          <w:p w14:paraId="5DBEA9EE" w14:textId="4B2380E7" w:rsidR="004E443E" w:rsidRDefault="00891FE2">
            <w:pPr>
              <w:rPr>
                <w:noProof/>
                <w:lang w:eastAsia="es-CO"/>
              </w:rPr>
            </w:pPr>
            <w:r>
              <w:rPr>
                <w:noProof/>
                <w:lang w:eastAsia="es-CO"/>
              </w:rPr>
              <w:t>Valor</w:t>
            </w:r>
          </w:p>
        </w:tc>
      </w:tr>
      <w:tr w:rsidR="00705874" w14:paraId="342D0480" w14:textId="77777777" w:rsidTr="00FA0412">
        <w:tc>
          <w:tcPr>
            <w:tcW w:w="4248" w:type="dxa"/>
            <w:gridSpan w:val="2"/>
            <w:tcBorders>
              <w:left w:val="single" w:sz="4" w:space="0" w:color="auto"/>
              <w:right w:val="single" w:sz="4" w:space="0" w:color="auto"/>
            </w:tcBorders>
            <w:shd w:val="clear" w:color="auto" w:fill="E7E6E6" w:themeFill="background2"/>
          </w:tcPr>
          <w:p w14:paraId="662BAA31" w14:textId="0C34BA89" w:rsidR="00705874" w:rsidRDefault="00D676B8">
            <w:pPr>
              <w:rPr>
                <w:noProof/>
                <w:lang w:eastAsia="es-CO"/>
              </w:rPr>
            </w:pPr>
            <w:r>
              <w:rPr>
                <w:noProof/>
                <w:lang w:eastAsia="es-CO"/>
              </w:rPr>
              <w:t>RSU</w:t>
            </w:r>
          </w:p>
        </w:tc>
      </w:tr>
      <w:tr w:rsidR="004E443E" w14:paraId="24A94774" w14:textId="77777777" w:rsidTr="00FA0412">
        <w:tc>
          <w:tcPr>
            <w:tcW w:w="3114" w:type="dxa"/>
            <w:tcBorders>
              <w:left w:val="single" w:sz="4" w:space="0" w:color="auto"/>
              <w:right w:val="single" w:sz="4" w:space="0" w:color="auto"/>
            </w:tcBorders>
          </w:tcPr>
          <w:p w14:paraId="24159D28" w14:textId="73EC50DB" w:rsidR="004E443E" w:rsidRDefault="00D676B8">
            <w:pPr>
              <w:rPr>
                <w:noProof/>
                <w:lang w:eastAsia="es-CO"/>
              </w:rPr>
            </w:pPr>
            <w:r>
              <w:rPr>
                <w:noProof/>
                <w:lang w:eastAsia="es-CO"/>
              </w:rPr>
              <w:t xml:space="preserve">Cantidad de </w:t>
            </w:r>
            <w:r w:rsidR="00530C3C">
              <w:rPr>
                <w:noProof/>
                <w:lang w:eastAsia="es-CO"/>
              </w:rPr>
              <w:t>RSU tratados</w:t>
            </w:r>
            <w:r w:rsidR="00B52632">
              <w:rPr>
                <w:noProof/>
                <w:lang w:eastAsia="es-CO"/>
              </w:rPr>
              <w:t xml:space="preserve"> al año</w:t>
            </w:r>
            <w:r w:rsidR="002C1421">
              <w:rPr>
                <w:noProof/>
                <w:lang w:eastAsia="es-CO"/>
              </w:rPr>
              <w:t xml:space="preserve"> (t)</w:t>
            </w:r>
          </w:p>
        </w:tc>
        <w:tc>
          <w:tcPr>
            <w:tcW w:w="1134" w:type="dxa"/>
            <w:tcBorders>
              <w:left w:val="single" w:sz="4" w:space="0" w:color="auto"/>
              <w:right w:val="single" w:sz="4" w:space="0" w:color="auto"/>
            </w:tcBorders>
          </w:tcPr>
          <w:p w14:paraId="6C3ABE74" w14:textId="7364481A" w:rsidR="004E443E" w:rsidRDefault="00B52632" w:rsidP="00FA0412">
            <w:pPr>
              <w:jc w:val="right"/>
              <w:rPr>
                <w:noProof/>
                <w:lang w:eastAsia="es-CO"/>
              </w:rPr>
            </w:pPr>
            <w:r>
              <w:rPr>
                <w:noProof/>
                <w:lang w:eastAsia="es-CO"/>
              </w:rPr>
              <w:t>155.192,</w:t>
            </w:r>
            <w:r w:rsidR="00E40A55">
              <w:rPr>
                <w:noProof/>
                <w:lang w:eastAsia="es-CO"/>
              </w:rPr>
              <w:t>65</w:t>
            </w:r>
          </w:p>
        </w:tc>
      </w:tr>
      <w:tr w:rsidR="00530C3C" w14:paraId="10C2375E" w14:textId="77777777" w:rsidTr="00FA0412">
        <w:tc>
          <w:tcPr>
            <w:tcW w:w="3114" w:type="dxa"/>
            <w:tcBorders>
              <w:left w:val="single" w:sz="4" w:space="0" w:color="auto"/>
              <w:right w:val="single" w:sz="4" w:space="0" w:color="auto"/>
            </w:tcBorders>
          </w:tcPr>
          <w:p w14:paraId="260828B3" w14:textId="662DE9E2" w:rsidR="00530C3C" w:rsidRPr="002C1421" w:rsidRDefault="00530C3C">
            <w:r>
              <w:rPr>
                <w:noProof/>
                <w:lang w:eastAsia="es-CO"/>
              </w:rPr>
              <w:t>LHV</w:t>
            </w:r>
            <w:r w:rsidRPr="004D3DAB">
              <w:rPr>
                <w:noProof/>
                <w:vertAlign w:val="subscript"/>
                <w:lang w:eastAsia="es-CO"/>
              </w:rPr>
              <w:t>wet</w:t>
            </w:r>
            <w:r w:rsidR="002C1421">
              <w:t xml:space="preserve"> (</w:t>
            </w:r>
            <w:r w:rsidR="00A276B4">
              <w:t>MJ/kg)</w:t>
            </w:r>
          </w:p>
        </w:tc>
        <w:tc>
          <w:tcPr>
            <w:tcW w:w="1134" w:type="dxa"/>
            <w:tcBorders>
              <w:left w:val="single" w:sz="4" w:space="0" w:color="auto"/>
              <w:right w:val="single" w:sz="4" w:space="0" w:color="auto"/>
            </w:tcBorders>
          </w:tcPr>
          <w:p w14:paraId="220E1181" w14:textId="15B43278" w:rsidR="00530C3C" w:rsidRDefault="00715506" w:rsidP="00FA0412">
            <w:pPr>
              <w:jc w:val="right"/>
              <w:rPr>
                <w:noProof/>
                <w:lang w:eastAsia="es-CO"/>
              </w:rPr>
            </w:pPr>
            <w:r>
              <w:rPr>
                <w:noProof/>
                <w:lang w:eastAsia="es-CO"/>
              </w:rPr>
              <w:t>1</w:t>
            </w:r>
            <w:r w:rsidR="00674C6D">
              <w:rPr>
                <w:noProof/>
                <w:lang w:eastAsia="es-CO"/>
              </w:rPr>
              <w:t>0,17</w:t>
            </w:r>
          </w:p>
        </w:tc>
      </w:tr>
      <w:tr w:rsidR="00FF2A72" w14:paraId="23BD8D43" w14:textId="77777777" w:rsidTr="00FA0412">
        <w:tc>
          <w:tcPr>
            <w:tcW w:w="3114" w:type="dxa"/>
            <w:tcBorders>
              <w:left w:val="single" w:sz="4" w:space="0" w:color="auto"/>
              <w:right w:val="single" w:sz="4" w:space="0" w:color="auto"/>
            </w:tcBorders>
          </w:tcPr>
          <w:p w14:paraId="68B4BB5F" w14:textId="10FE30A3" w:rsidR="00FF2A72" w:rsidRDefault="00FF2A72" w:rsidP="005B2D26">
            <w:pPr>
              <w:jc w:val="left"/>
              <w:rPr>
                <w:noProof/>
                <w:lang w:eastAsia="es-CO"/>
              </w:rPr>
            </w:pPr>
            <w:r>
              <w:rPr>
                <w:noProof/>
                <w:lang w:eastAsia="es-CO"/>
              </w:rPr>
              <w:t>Flujo másico RSU,</w:t>
            </w:r>
            <w:r w:rsidRPr="00620B36">
              <w:rPr>
                <w:noProof/>
                <w:sz w:val="22"/>
                <w:szCs w:val="22"/>
                <w:lang w:eastAsia="es-CO"/>
              </w:rPr>
              <w:t xml:space="preserve"> </w:t>
            </w:r>
            <m:oMath>
              <m:sSub>
                <m:sSubPr>
                  <m:ctrlPr>
                    <w:rPr>
                      <w:rFonts w:ascii="Cambria Math" w:eastAsia="Calibri" w:hAnsi="Cambria Math" w:cs="Times New Roman"/>
                    </w:rPr>
                  </m:ctrlPr>
                </m:sSubPr>
                <m:e>
                  <m:acc>
                    <m:accPr>
                      <m:chr m:val="̇"/>
                      <m:ctrlPr>
                        <w:rPr>
                          <w:rFonts w:ascii="Cambria Math" w:eastAsia="Calibri" w:hAnsi="Cambria Math" w:cs="Times New Roman"/>
                        </w:rPr>
                      </m:ctrlPr>
                    </m:accPr>
                    <m:e>
                      <m:r>
                        <m:rPr>
                          <m:sty m:val="p"/>
                        </m:rPr>
                        <w:rPr>
                          <w:rFonts w:ascii="Cambria Math" w:eastAsia="Calibri" w:hAnsi="Cambria Math" w:cs="Times New Roman"/>
                        </w:rPr>
                        <m:t>m</m:t>
                      </m:r>
                    </m:e>
                  </m:acc>
                </m:e>
                <m:sub>
                  <m:r>
                    <m:rPr>
                      <m:sty m:val="p"/>
                    </m:rPr>
                    <w:rPr>
                      <w:rFonts w:ascii="Cambria Math" w:eastAsia="Calibri" w:hAnsi="Cambria Math" w:cs="Times New Roman"/>
                    </w:rPr>
                    <m:t>RSU</m:t>
                  </m:r>
                </m:sub>
              </m:sSub>
            </m:oMath>
            <w:r w:rsidR="0006789D" w:rsidRPr="00620B36">
              <w:rPr>
                <w:rFonts w:eastAsiaTheme="minorEastAsia"/>
                <w:noProof/>
              </w:rPr>
              <w:t xml:space="preserve"> (kg/s)</w:t>
            </w:r>
          </w:p>
        </w:tc>
        <w:tc>
          <w:tcPr>
            <w:tcW w:w="1134" w:type="dxa"/>
            <w:tcBorders>
              <w:left w:val="single" w:sz="4" w:space="0" w:color="auto"/>
              <w:right w:val="single" w:sz="4" w:space="0" w:color="auto"/>
            </w:tcBorders>
          </w:tcPr>
          <w:p w14:paraId="78850FD6" w14:textId="7A235D38" w:rsidR="00FF2A72" w:rsidRDefault="00620B36" w:rsidP="00FA0412">
            <w:pPr>
              <w:jc w:val="right"/>
              <w:rPr>
                <w:noProof/>
                <w:lang w:eastAsia="es-CO"/>
              </w:rPr>
            </w:pPr>
            <w:r>
              <w:rPr>
                <w:noProof/>
                <w:lang w:eastAsia="es-CO"/>
              </w:rPr>
              <w:t>4,9</w:t>
            </w:r>
            <w:r w:rsidR="00335AA2">
              <w:rPr>
                <w:noProof/>
                <w:lang w:eastAsia="es-CO"/>
              </w:rPr>
              <w:t>2</w:t>
            </w:r>
          </w:p>
        </w:tc>
      </w:tr>
      <w:tr w:rsidR="00DB6E37" w14:paraId="1BE624C9" w14:textId="77777777" w:rsidTr="00FA0412">
        <w:tc>
          <w:tcPr>
            <w:tcW w:w="4248" w:type="dxa"/>
            <w:gridSpan w:val="2"/>
            <w:tcBorders>
              <w:left w:val="single" w:sz="4" w:space="0" w:color="auto"/>
              <w:right w:val="single" w:sz="4" w:space="0" w:color="auto"/>
            </w:tcBorders>
            <w:shd w:val="clear" w:color="auto" w:fill="E7E6E6" w:themeFill="background2"/>
          </w:tcPr>
          <w:p w14:paraId="05049574" w14:textId="35B35EE7" w:rsidR="00DB6E37" w:rsidRDefault="00ED71A1">
            <w:pPr>
              <w:rPr>
                <w:noProof/>
                <w:lang w:eastAsia="es-CO"/>
              </w:rPr>
            </w:pPr>
            <w:r>
              <w:rPr>
                <w:noProof/>
                <w:lang w:eastAsia="es-CO"/>
              </w:rPr>
              <w:t>Ambientales</w:t>
            </w:r>
          </w:p>
        </w:tc>
      </w:tr>
      <w:tr w:rsidR="00DB6E37" w14:paraId="7C5CC445" w14:textId="77777777" w:rsidTr="00FA0412">
        <w:tc>
          <w:tcPr>
            <w:tcW w:w="3114" w:type="dxa"/>
            <w:tcBorders>
              <w:left w:val="single" w:sz="4" w:space="0" w:color="auto"/>
              <w:right w:val="single" w:sz="4" w:space="0" w:color="auto"/>
            </w:tcBorders>
          </w:tcPr>
          <w:p w14:paraId="23CF5C3A" w14:textId="18BA3110" w:rsidR="00DB6E37" w:rsidRPr="00A276B4" w:rsidRDefault="00ED71A1">
            <w:r>
              <w:rPr>
                <w:noProof/>
                <w:lang w:eastAsia="es-CO"/>
              </w:rPr>
              <w:t>Temperatura ambiente</w:t>
            </w:r>
            <w:r w:rsidR="00A60677">
              <w:rPr>
                <w:noProof/>
                <w:lang w:eastAsia="es-CO"/>
              </w:rPr>
              <w:t xml:space="preserve"> (T</w:t>
            </w:r>
            <w:r w:rsidR="00A60677" w:rsidRPr="00A60677">
              <w:rPr>
                <w:noProof/>
                <w:vertAlign w:val="subscript"/>
                <w:lang w:eastAsia="es-CO"/>
              </w:rPr>
              <w:t>amb</w:t>
            </w:r>
            <w:r w:rsidR="00A276B4">
              <w:t>, °C)</w:t>
            </w:r>
          </w:p>
        </w:tc>
        <w:tc>
          <w:tcPr>
            <w:tcW w:w="1134" w:type="dxa"/>
            <w:tcBorders>
              <w:left w:val="single" w:sz="4" w:space="0" w:color="auto"/>
              <w:right w:val="single" w:sz="4" w:space="0" w:color="auto"/>
            </w:tcBorders>
          </w:tcPr>
          <w:p w14:paraId="6511F123" w14:textId="5C969741" w:rsidR="00DB6E37" w:rsidRDefault="0066245D" w:rsidP="00FA0412">
            <w:pPr>
              <w:jc w:val="right"/>
              <w:rPr>
                <w:noProof/>
                <w:lang w:eastAsia="es-CO"/>
              </w:rPr>
            </w:pPr>
            <w:r>
              <w:rPr>
                <w:noProof/>
                <w:lang w:eastAsia="es-CO"/>
              </w:rPr>
              <w:t>10,9</w:t>
            </w:r>
            <w:r w:rsidR="00E74511">
              <w:rPr>
                <w:noProof/>
                <w:lang w:eastAsia="es-CO"/>
              </w:rPr>
              <w:t>0</w:t>
            </w:r>
          </w:p>
        </w:tc>
      </w:tr>
      <w:tr w:rsidR="00ED71A1" w14:paraId="57BAB2C6" w14:textId="77777777" w:rsidTr="00FA0412">
        <w:tc>
          <w:tcPr>
            <w:tcW w:w="3114" w:type="dxa"/>
            <w:tcBorders>
              <w:left w:val="single" w:sz="4" w:space="0" w:color="auto"/>
              <w:right w:val="single" w:sz="4" w:space="0" w:color="auto"/>
            </w:tcBorders>
          </w:tcPr>
          <w:p w14:paraId="56843CA4" w14:textId="205053E7" w:rsidR="00ED71A1" w:rsidRDefault="00ED71A1">
            <w:pPr>
              <w:rPr>
                <w:noProof/>
                <w:lang w:eastAsia="es-CO"/>
              </w:rPr>
            </w:pPr>
            <w:r>
              <w:rPr>
                <w:noProof/>
                <w:lang w:eastAsia="es-CO"/>
              </w:rPr>
              <w:t>Humedad relativa (</w:t>
            </w:r>
            <w:r w:rsidR="00A60677">
              <w:rPr>
                <w:noProof/>
                <w:lang w:eastAsia="es-CO"/>
              </w:rPr>
              <w:t>HR</w:t>
            </w:r>
            <w:r w:rsidR="00A276B4">
              <w:rPr>
                <w:noProof/>
                <w:lang w:eastAsia="es-CO"/>
              </w:rPr>
              <w:t>, %</w:t>
            </w:r>
            <w:r w:rsidR="00A60677">
              <w:rPr>
                <w:noProof/>
                <w:lang w:eastAsia="es-CO"/>
              </w:rPr>
              <w:t>)</w:t>
            </w:r>
          </w:p>
        </w:tc>
        <w:tc>
          <w:tcPr>
            <w:tcW w:w="1134" w:type="dxa"/>
            <w:tcBorders>
              <w:left w:val="single" w:sz="4" w:space="0" w:color="auto"/>
              <w:right w:val="single" w:sz="4" w:space="0" w:color="auto"/>
            </w:tcBorders>
          </w:tcPr>
          <w:p w14:paraId="2A17378C" w14:textId="06CE235B" w:rsidR="00ED71A1" w:rsidRDefault="00E74511" w:rsidP="00FA0412">
            <w:pPr>
              <w:jc w:val="right"/>
              <w:rPr>
                <w:noProof/>
                <w:lang w:eastAsia="es-CO"/>
              </w:rPr>
            </w:pPr>
            <w:r>
              <w:rPr>
                <w:noProof/>
                <w:lang w:eastAsia="es-CO"/>
              </w:rPr>
              <w:t>81,67</w:t>
            </w:r>
          </w:p>
        </w:tc>
      </w:tr>
      <w:tr w:rsidR="00A60677" w14:paraId="4BF7BDBD" w14:textId="77777777" w:rsidTr="00FA0412">
        <w:tc>
          <w:tcPr>
            <w:tcW w:w="4248" w:type="dxa"/>
            <w:gridSpan w:val="2"/>
            <w:tcBorders>
              <w:left w:val="single" w:sz="4" w:space="0" w:color="auto"/>
              <w:right w:val="single" w:sz="4" w:space="0" w:color="auto"/>
            </w:tcBorders>
            <w:shd w:val="clear" w:color="auto" w:fill="E7E6E6" w:themeFill="background2"/>
          </w:tcPr>
          <w:p w14:paraId="58C30084" w14:textId="2569029E" w:rsidR="00A60677" w:rsidRDefault="00D35C87">
            <w:pPr>
              <w:rPr>
                <w:noProof/>
                <w:lang w:eastAsia="es-CO"/>
              </w:rPr>
            </w:pPr>
            <w:r>
              <w:rPr>
                <w:noProof/>
                <w:lang w:eastAsia="es-CO"/>
              </w:rPr>
              <w:t>Ciclo termodinámico</w:t>
            </w:r>
          </w:p>
        </w:tc>
      </w:tr>
      <w:tr w:rsidR="00530C3C" w14:paraId="1847FE43" w14:textId="77777777" w:rsidTr="00FA0412">
        <w:tc>
          <w:tcPr>
            <w:tcW w:w="3114" w:type="dxa"/>
            <w:tcBorders>
              <w:left w:val="single" w:sz="4" w:space="0" w:color="auto"/>
              <w:right w:val="single" w:sz="4" w:space="0" w:color="auto"/>
            </w:tcBorders>
          </w:tcPr>
          <w:p w14:paraId="4B5195E8" w14:textId="49482818" w:rsidR="00530C3C" w:rsidRDefault="00D034E6">
            <w:pPr>
              <w:rPr>
                <w:noProof/>
                <w:lang w:eastAsia="es-CO"/>
              </w:rPr>
            </w:pPr>
            <w:r>
              <w:rPr>
                <w:noProof/>
                <w:lang w:eastAsia="es-CO"/>
              </w:rPr>
              <w:t>Presión máxima</w:t>
            </w:r>
            <w:r w:rsidR="007E23E7">
              <w:rPr>
                <w:noProof/>
                <w:lang w:eastAsia="es-CO"/>
              </w:rPr>
              <w:t xml:space="preserve"> (P</w:t>
            </w:r>
            <w:r w:rsidR="007E23E7" w:rsidRPr="007E23E7">
              <w:rPr>
                <w:noProof/>
                <w:vertAlign w:val="subscript"/>
                <w:lang w:eastAsia="es-CO"/>
              </w:rPr>
              <w:t>max</w:t>
            </w:r>
            <w:r w:rsidR="00FA0412">
              <w:t>, bar</w:t>
            </w:r>
            <w:r w:rsidR="007E23E7">
              <w:rPr>
                <w:noProof/>
                <w:lang w:eastAsia="es-CO"/>
              </w:rPr>
              <w:t>)</w:t>
            </w:r>
          </w:p>
        </w:tc>
        <w:tc>
          <w:tcPr>
            <w:tcW w:w="1134" w:type="dxa"/>
            <w:tcBorders>
              <w:left w:val="single" w:sz="4" w:space="0" w:color="auto"/>
              <w:right w:val="single" w:sz="4" w:space="0" w:color="auto"/>
            </w:tcBorders>
          </w:tcPr>
          <w:p w14:paraId="13F0CF28" w14:textId="4D0C6184" w:rsidR="00530C3C" w:rsidRDefault="006C729F" w:rsidP="00FA0412">
            <w:pPr>
              <w:jc w:val="right"/>
              <w:rPr>
                <w:noProof/>
                <w:lang w:eastAsia="es-CO"/>
              </w:rPr>
            </w:pPr>
            <w:r>
              <w:rPr>
                <w:noProof/>
                <w:lang w:eastAsia="es-CO"/>
              </w:rPr>
              <w:t>40</w:t>
            </w:r>
          </w:p>
        </w:tc>
      </w:tr>
      <w:tr w:rsidR="00D034E6" w14:paraId="1A07F06A" w14:textId="77777777" w:rsidTr="00FA0412">
        <w:tc>
          <w:tcPr>
            <w:tcW w:w="3114" w:type="dxa"/>
            <w:tcBorders>
              <w:left w:val="single" w:sz="4" w:space="0" w:color="auto"/>
              <w:right w:val="single" w:sz="4" w:space="0" w:color="auto"/>
            </w:tcBorders>
          </w:tcPr>
          <w:p w14:paraId="5183C04D" w14:textId="423E5331" w:rsidR="00D034E6" w:rsidRDefault="00D034E6">
            <w:pPr>
              <w:rPr>
                <w:noProof/>
                <w:lang w:eastAsia="es-CO"/>
              </w:rPr>
            </w:pPr>
            <w:r>
              <w:rPr>
                <w:noProof/>
                <w:lang w:eastAsia="es-CO"/>
              </w:rPr>
              <w:t>Presión intermedia</w:t>
            </w:r>
            <w:r w:rsidR="007E23E7">
              <w:rPr>
                <w:noProof/>
                <w:lang w:eastAsia="es-CO"/>
              </w:rPr>
              <w:t xml:space="preserve"> (P</w:t>
            </w:r>
            <w:r w:rsidR="007E23E7" w:rsidRPr="007E23E7">
              <w:rPr>
                <w:noProof/>
                <w:vertAlign w:val="subscript"/>
                <w:lang w:eastAsia="es-CO"/>
              </w:rPr>
              <w:t>int</w:t>
            </w:r>
            <w:r w:rsidR="00FA0412">
              <w:t>, bar</w:t>
            </w:r>
            <w:r w:rsidR="007E23E7">
              <w:rPr>
                <w:noProof/>
                <w:lang w:eastAsia="es-CO"/>
              </w:rPr>
              <w:t>)</w:t>
            </w:r>
          </w:p>
        </w:tc>
        <w:tc>
          <w:tcPr>
            <w:tcW w:w="1134" w:type="dxa"/>
            <w:tcBorders>
              <w:left w:val="single" w:sz="4" w:space="0" w:color="auto"/>
              <w:right w:val="single" w:sz="4" w:space="0" w:color="auto"/>
            </w:tcBorders>
          </w:tcPr>
          <w:p w14:paraId="46753891" w14:textId="38C36532" w:rsidR="00D034E6" w:rsidRDefault="006C729F" w:rsidP="00FA0412">
            <w:pPr>
              <w:jc w:val="right"/>
              <w:rPr>
                <w:noProof/>
                <w:lang w:eastAsia="es-CO"/>
              </w:rPr>
            </w:pPr>
            <w:r>
              <w:rPr>
                <w:noProof/>
                <w:lang w:eastAsia="es-CO"/>
              </w:rPr>
              <w:t>8</w:t>
            </w:r>
          </w:p>
        </w:tc>
      </w:tr>
      <w:tr w:rsidR="00D034E6" w14:paraId="407EA945" w14:textId="77777777" w:rsidTr="00FA0412">
        <w:tc>
          <w:tcPr>
            <w:tcW w:w="3114" w:type="dxa"/>
            <w:tcBorders>
              <w:left w:val="single" w:sz="4" w:space="0" w:color="auto"/>
              <w:right w:val="single" w:sz="4" w:space="0" w:color="auto"/>
            </w:tcBorders>
          </w:tcPr>
          <w:p w14:paraId="7B1D6A99" w14:textId="608774E2" w:rsidR="00D034E6" w:rsidRDefault="00D034E6">
            <w:pPr>
              <w:rPr>
                <w:noProof/>
                <w:lang w:eastAsia="es-CO"/>
              </w:rPr>
            </w:pPr>
            <w:r>
              <w:rPr>
                <w:noProof/>
                <w:lang w:eastAsia="es-CO"/>
              </w:rPr>
              <w:t>Presión mínima</w:t>
            </w:r>
            <w:r w:rsidR="007E23E7">
              <w:rPr>
                <w:noProof/>
                <w:lang w:eastAsia="es-CO"/>
              </w:rPr>
              <w:t xml:space="preserve"> (P</w:t>
            </w:r>
            <w:r w:rsidR="007E23E7" w:rsidRPr="007E23E7">
              <w:rPr>
                <w:noProof/>
                <w:vertAlign w:val="subscript"/>
                <w:lang w:eastAsia="es-CO"/>
              </w:rPr>
              <w:t>min</w:t>
            </w:r>
            <w:r w:rsidR="00FA0412">
              <w:t>, bar</w:t>
            </w:r>
            <w:r w:rsidR="007E23E7">
              <w:rPr>
                <w:noProof/>
                <w:lang w:eastAsia="es-CO"/>
              </w:rPr>
              <w:t>)</w:t>
            </w:r>
          </w:p>
        </w:tc>
        <w:tc>
          <w:tcPr>
            <w:tcW w:w="1134" w:type="dxa"/>
            <w:tcBorders>
              <w:left w:val="single" w:sz="4" w:space="0" w:color="auto"/>
              <w:right w:val="single" w:sz="4" w:space="0" w:color="auto"/>
            </w:tcBorders>
          </w:tcPr>
          <w:p w14:paraId="328F5A0E" w14:textId="040599F3" w:rsidR="00D034E6" w:rsidRDefault="006C729F" w:rsidP="00FA0412">
            <w:pPr>
              <w:jc w:val="right"/>
              <w:rPr>
                <w:noProof/>
                <w:lang w:eastAsia="es-CO"/>
              </w:rPr>
            </w:pPr>
            <w:r>
              <w:rPr>
                <w:noProof/>
                <w:lang w:eastAsia="es-CO"/>
              </w:rPr>
              <w:t>0,10</w:t>
            </w:r>
          </w:p>
        </w:tc>
      </w:tr>
      <w:tr w:rsidR="00D034E6" w14:paraId="1B297CD7" w14:textId="77777777" w:rsidTr="00FA0412">
        <w:tc>
          <w:tcPr>
            <w:tcW w:w="3114" w:type="dxa"/>
            <w:tcBorders>
              <w:left w:val="single" w:sz="4" w:space="0" w:color="auto"/>
              <w:right w:val="single" w:sz="4" w:space="0" w:color="auto"/>
            </w:tcBorders>
          </w:tcPr>
          <w:p w14:paraId="590FF216" w14:textId="5A079AB7" w:rsidR="00D034E6" w:rsidRDefault="00D034E6">
            <w:pPr>
              <w:rPr>
                <w:noProof/>
                <w:lang w:eastAsia="es-CO"/>
              </w:rPr>
            </w:pPr>
            <w:r>
              <w:rPr>
                <w:noProof/>
                <w:lang w:eastAsia="es-CO"/>
              </w:rPr>
              <w:t>Temperatura máxima</w:t>
            </w:r>
            <w:r w:rsidR="004D0EFD">
              <w:rPr>
                <w:noProof/>
                <w:lang w:eastAsia="es-CO"/>
              </w:rPr>
              <w:t xml:space="preserve"> </w:t>
            </w:r>
            <w:r w:rsidR="007E23E7">
              <w:rPr>
                <w:noProof/>
                <w:lang w:eastAsia="es-CO"/>
              </w:rPr>
              <w:t>(T</w:t>
            </w:r>
            <w:r w:rsidR="007E23E7" w:rsidRPr="007E23E7">
              <w:rPr>
                <w:noProof/>
                <w:vertAlign w:val="subscript"/>
                <w:lang w:eastAsia="es-CO"/>
              </w:rPr>
              <w:t>max</w:t>
            </w:r>
            <w:r w:rsidR="00FA0412">
              <w:t>, °C</w:t>
            </w:r>
            <w:r w:rsidR="007E23E7">
              <w:rPr>
                <w:noProof/>
                <w:lang w:eastAsia="es-CO"/>
              </w:rPr>
              <w:t>)</w:t>
            </w:r>
          </w:p>
        </w:tc>
        <w:tc>
          <w:tcPr>
            <w:tcW w:w="1134" w:type="dxa"/>
            <w:tcBorders>
              <w:left w:val="single" w:sz="4" w:space="0" w:color="auto"/>
              <w:right w:val="single" w:sz="4" w:space="0" w:color="auto"/>
            </w:tcBorders>
          </w:tcPr>
          <w:p w14:paraId="53C72D80" w14:textId="2D2F4BF4" w:rsidR="00D034E6" w:rsidRDefault="006C729F" w:rsidP="00FA0412">
            <w:pPr>
              <w:jc w:val="right"/>
              <w:rPr>
                <w:noProof/>
                <w:lang w:eastAsia="es-CO"/>
              </w:rPr>
            </w:pPr>
            <w:r>
              <w:rPr>
                <w:rFonts w:cs="Times New Roman"/>
                <w:noProof/>
                <w:lang w:eastAsia="es-CO"/>
              </w:rPr>
              <w:t>≈</w:t>
            </w:r>
            <w:r w:rsidR="007631D6">
              <w:rPr>
                <w:rFonts w:cs="Times New Roman"/>
                <w:noProof/>
                <w:lang w:eastAsia="es-CO"/>
              </w:rPr>
              <w:t xml:space="preserve"> </w:t>
            </w:r>
            <w:r>
              <w:rPr>
                <w:noProof/>
                <w:lang w:eastAsia="es-CO"/>
              </w:rPr>
              <w:t>40</w:t>
            </w:r>
            <w:r w:rsidR="00FA0412">
              <w:rPr>
                <w:noProof/>
                <w:lang w:eastAsia="es-CO"/>
              </w:rPr>
              <w:t>0</w:t>
            </w:r>
          </w:p>
        </w:tc>
      </w:tr>
    </w:tbl>
    <w:p w14:paraId="2F26BE4E" w14:textId="1E635FC8" w:rsidR="001657E3" w:rsidRPr="00297F17" w:rsidRDefault="007631D6" w:rsidP="00297F17">
      <w:pPr>
        <w:pStyle w:val="Descripcin"/>
        <w:rPr>
          <w:sz w:val="18"/>
          <w:szCs w:val="16"/>
        </w:rPr>
      </w:pPr>
      <w:r w:rsidRPr="00297F17">
        <w:rPr>
          <w:sz w:val="18"/>
          <w:szCs w:val="16"/>
        </w:rPr>
        <w:t>Fuente: elaboración propia.</w:t>
      </w:r>
    </w:p>
    <w:p w14:paraId="60A59AE7" w14:textId="395D6373" w:rsidR="000B5389" w:rsidRDefault="00E3341E" w:rsidP="000C2831">
      <w:pPr>
        <w:rPr>
          <w:rFonts w:eastAsiaTheme="minorEastAsia"/>
        </w:rPr>
      </w:pPr>
      <w:r>
        <w:rPr>
          <w:rFonts w:eastAsiaTheme="minorEastAsia"/>
        </w:rPr>
        <w:t xml:space="preserve">En la </w:t>
      </w:r>
      <w:r>
        <w:rPr>
          <w:rFonts w:eastAsiaTheme="minorEastAsia"/>
        </w:rPr>
        <w:fldChar w:fldCharType="begin"/>
      </w:r>
      <w:r>
        <w:rPr>
          <w:rFonts w:eastAsiaTheme="minorEastAsia"/>
        </w:rPr>
        <w:instrText xml:space="preserve"> REF _Ref110490597 \h </w:instrText>
      </w:r>
      <w:r>
        <w:rPr>
          <w:rFonts w:eastAsiaTheme="minorEastAsia"/>
        </w:rPr>
      </w:r>
      <w:r>
        <w:rPr>
          <w:rFonts w:eastAsiaTheme="minorEastAsia"/>
        </w:rPr>
        <w:fldChar w:fldCharType="separate"/>
      </w:r>
      <w:r w:rsidRPr="00DA255A">
        <w:rPr>
          <w:sz w:val="18"/>
          <w:szCs w:val="16"/>
        </w:rPr>
        <w:t>Tabla 6</w:t>
      </w:r>
      <w:r>
        <w:rPr>
          <w:rFonts w:eastAsiaTheme="minorEastAsia"/>
        </w:rPr>
        <w:fldChar w:fldCharType="end"/>
      </w:r>
      <w:r>
        <w:rPr>
          <w:rFonts w:eastAsiaTheme="minorEastAsia"/>
        </w:rPr>
        <w:t xml:space="preserve"> se resumen las variables utilizadas en </w:t>
      </w:r>
      <w:r w:rsidR="002E5BAC">
        <w:rPr>
          <w:rFonts w:eastAsiaTheme="minorEastAsia"/>
        </w:rPr>
        <w:t>l</w:t>
      </w:r>
      <w:r w:rsidR="00123F68">
        <w:rPr>
          <w:rFonts w:eastAsiaTheme="minorEastAsia"/>
        </w:rPr>
        <w:t xml:space="preserve">as ecuaciones </w:t>
      </w:r>
      <w:r w:rsidR="00123F68">
        <w:rPr>
          <w:rFonts w:eastAsiaTheme="minorEastAsia"/>
        </w:rPr>
        <w:fldChar w:fldCharType="begin"/>
      </w:r>
      <w:r w:rsidR="00123F68">
        <w:rPr>
          <w:rFonts w:eastAsiaTheme="minorEastAsia"/>
        </w:rPr>
        <w:instrText xml:space="preserve"> REF _Ref108555131 \h </w:instrText>
      </w:r>
      <w:r w:rsidR="00123F68">
        <w:rPr>
          <w:rFonts w:eastAsiaTheme="minorEastAsia"/>
        </w:rPr>
      </w:r>
      <w:r w:rsidR="00123F68">
        <w:rPr>
          <w:rFonts w:eastAsiaTheme="minorEastAsia"/>
        </w:rPr>
        <w:fldChar w:fldCharType="separate"/>
      </w:r>
      <w:r w:rsidR="00123F68">
        <w:t>(</w:t>
      </w:r>
      <w:r w:rsidR="00123F68">
        <w:rPr>
          <w:noProof/>
        </w:rPr>
        <w:t>4</w:t>
      </w:r>
      <w:r w:rsidR="00123F68">
        <w:t>)</w:t>
      </w:r>
      <w:r w:rsidR="00123F68">
        <w:rPr>
          <w:rFonts w:eastAsiaTheme="minorEastAsia"/>
        </w:rPr>
        <w:fldChar w:fldCharType="end"/>
      </w:r>
      <w:r w:rsidR="00123F68">
        <w:rPr>
          <w:rFonts w:eastAsiaTheme="minorEastAsia"/>
        </w:rPr>
        <w:t xml:space="preserve"> a </w:t>
      </w:r>
      <w:r w:rsidR="00D661CE">
        <w:rPr>
          <w:rFonts w:eastAsiaTheme="minorEastAsia"/>
        </w:rPr>
        <w:fldChar w:fldCharType="begin"/>
      </w:r>
      <w:r w:rsidR="00D661CE">
        <w:rPr>
          <w:rFonts w:eastAsiaTheme="minorEastAsia"/>
        </w:rPr>
        <w:instrText xml:space="preserve"> REF _Ref113294614 \h </w:instrText>
      </w:r>
      <w:r w:rsidR="00D661CE">
        <w:rPr>
          <w:rFonts w:eastAsiaTheme="minorEastAsia"/>
        </w:rPr>
      </w:r>
      <w:r w:rsidR="00D661CE">
        <w:rPr>
          <w:rFonts w:eastAsiaTheme="minorEastAsia"/>
        </w:rPr>
        <w:fldChar w:fldCharType="separate"/>
      </w:r>
      <w:r w:rsidR="00D661CE" w:rsidRPr="00A4502C">
        <w:t>(</w:t>
      </w:r>
      <w:r w:rsidR="00D661CE">
        <w:rPr>
          <w:noProof/>
        </w:rPr>
        <w:t>16</w:t>
      </w:r>
      <w:r w:rsidR="00D661CE" w:rsidRPr="00A4502C">
        <w:t>)</w:t>
      </w:r>
      <w:r w:rsidR="00D661CE">
        <w:rPr>
          <w:rFonts w:eastAsiaTheme="minorEastAsia"/>
        </w:rPr>
        <w:fldChar w:fldCharType="end"/>
      </w:r>
      <w:r w:rsidR="00123F68">
        <w:rPr>
          <w:rFonts w:eastAsiaTheme="minorEastAsia"/>
        </w:rPr>
        <w:t xml:space="preserve"> </w:t>
      </w:r>
      <w:r w:rsidR="002E5BAC">
        <w:rPr>
          <w:rFonts w:eastAsiaTheme="minorEastAsia"/>
        </w:rPr>
        <w:t xml:space="preserve">que </w:t>
      </w:r>
      <w:r w:rsidR="00123F68">
        <w:rPr>
          <w:rFonts w:eastAsiaTheme="minorEastAsia"/>
        </w:rPr>
        <w:t>definen termodinámicamente el ciclo. En el invierno la planta priorizará su producción a la entrega de calor a un distrito de calefacción. En el verano, parte de la producción se puede destinar a agua caliente y el resto a la generación de electricidad.</w:t>
      </w:r>
    </w:p>
    <w:tbl>
      <w:tblPr>
        <w:tblStyle w:val="Tablaconcuadrcula"/>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11"/>
        <w:gridCol w:w="539"/>
      </w:tblGrid>
      <w:tr w:rsidR="005E6218" w14:paraId="5B91FF79" w14:textId="77777777" w:rsidTr="003225A2">
        <w:tc>
          <w:tcPr>
            <w:tcW w:w="3964" w:type="dxa"/>
            <w:gridSpan w:val="2"/>
            <w:vAlign w:val="center"/>
          </w:tcPr>
          <w:p w14:paraId="7339C781" w14:textId="77777777" w:rsidR="005E6218" w:rsidRPr="00A4502C" w:rsidRDefault="007D63EF" w:rsidP="00155FD7">
            <w:pPr>
              <w:spacing w:before="120" w:after="120"/>
              <w:jc w:val="right"/>
            </w:pPr>
            <m:oMathPara>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Pr1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v</m:t>
                        </m:r>
                      </m:e>
                      <m:sub>
                        <m:r>
                          <m:rPr>
                            <m:sty m:val="p"/>
                          </m:rPr>
                          <w:rPr>
                            <w:rFonts w:ascii="Cambria Math" w:hAnsi="Cambria Math"/>
                          </w:rPr>
                          <m:t>f1</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e>
                    </m:d>
                  </m:num>
                  <m:den>
                    <m:sSub>
                      <m:sSubPr>
                        <m:ctrlPr>
                          <w:rPr>
                            <w:rFonts w:ascii="Cambria Math" w:hAnsi="Cambria Math"/>
                          </w:rPr>
                        </m:ctrlPr>
                      </m:sSubPr>
                      <m:e>
                        <m:r>
                          <m:rPr>
                            <m:sty m:val="p"/>
                          </m:rPr>
                          <w:rPr>
                            <w:rFonts w:ascii="Cambria Math" w:hAnsi="Cambria Math"/>
                          </w:rPr>
                          <m:t>η</m:t>
                        </m:r>
                      </m:e>
                      <m:sub>
                        <m:r>
                          <m:rPr>
                            <m:sty m:val="p"/>
                          </m:rPr>
                          <w:rPr>
                            <w:rFonts w:ascii="Cambria Math" w:hAnsi="Cambria Math"/>
                          </w:rPr>
                          <m:t>P</m:t>
                        </m:r>
                      </m:sub>
                    </m:sSub>
                  </m:den>
                </m:f>
              </m:oMath>
            </m:oMathPara>
          </w:p>
        </w:tc>
        <w:tc>
          <w:tcPr>
            <w:tcW w:w="539" w:type="dxa"/>
            <w:vAlign w:val="center"/>
          </w:tcPr>
          <w:p w14:paraId="0AA79F2C" w14:textId="77777777" w:rsidR="005E6218" w:rsidRDefault="005E6218" w:rsidP="00155FD7">
            <w:pPr>
              <w:pStyle w:val="Descripcin"/>
              <w:jc w:val="right"/>
            </w:pPr>
            <w:bookmarkStart w:id="12" w:name="_Ref108552396"/>
            <w:bookmarkStart w:id="13" w:name="_Ref108555131"/>
            <w:r>
              <w:t>(</w:t>
            </w:r>
            <w:r>
              <w:fldChar w:fldCharType="begin"/>
            </w:r>
            <w:r>
              <w:instrText>SEQ Ecuación \* ARABIC</w:instrText>
            </w:r>
            <w:r>
              <w:fldChar w:fldCharType="separate"/>
            </w:r>
            <w:r>
              <w:rPr>
                <w:noProof/>
              </w:rPr>
              <w:t>4</w:t>
            </w:r>
            <w:r>
              <w:fldChar w:fldCharType="end"/>
            </w:r>
            <w:bookmarkEnd w:id="12"/>
            <w:r>
              <w:t>)</w:t>
            </w:r>
            <w:bookmarkEnd w:id="13"/>
          </w:p>
        </w:tc>
      </w:tr>
      <w:tr w:rsidR="005E6218" w14:paraId="127B553D" w14:textId="77777777" w:rsidTr="00322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53" w:type="dxa"/>
            <w:tcBorders>
              <w:top w:val="nil"/>
              <w:left w:val="nil"/>
              <w:bottom w:val="nil"/>
              <w:right w:val="nil"/>
            </w:tcBorders>
            <w:vAlign w:val="center"/>
          </w:tcPr>
          <w:p w14:paraId="01364B65" w14:textId="77777777" w:rsidR="005E6218" w:rsidRPr="00A4502C" w:rsidRDefault="007D63EF" w:rsidP="00155FD7">
            <w:pPr>
              <w:spacing w:before="120" w:after="120"/>
              <w:jc w:val="right"/>
            </w:pPr>
            <m:oMathPara>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Hinc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2r</m:t>
                    </m:r>
                  </m:sub>
                </m:sSub>
              </m:oMath>
            </m:oMathPara>
          </w:p>
        </w:tc>
        <w:tc>
          <w:tcPr>
            <w:tcW w:w="550" w:type="dxa"/>
            <w:gridSpan w:val="2"/>
            <w:tcBorders>
              <w:top w:val="nil"/>
              <w:left w:val="nil"/>
              <w:bottom w:val="nil"/>
              <w:right w:val="nil"/>
            </w:tcBorders>
            <w:vAlign w:val="center"/>
          </w:tcPr>
          <w:p w14:paraId="1AF70B5B" w14:textId="77777777" w:rsidR="005E6218" w:rsidRDefault="005E6218" w:rsidP="00155FD7">
            <w:pPr>
              <w:pStyle w:val="Descripcin"/>
              <w:jc w:val="right"/>
            </w:pPr>
            <w:bookmarkStart w:id="14" w:name="_Ref108552749"/>
            <w:r>
              <w:t>(</w:t>
            </w:r>
            <w:r>
              <w:fldChar w:fldCharType="begin"/>
            </w:r>
            <w:r>
              <w:instrText>SEQ Ecuación \* ARABIC</w:instrText>
            </w:r>
            <w:r>
              <w:fldChar w:fldCharType="separate"/>
            </w:r>
            <w:r>
              <w:rPr>
                <w:noProof/>
              </w:rPr>
              <w:t>5</w:t>
            </w:r>
            <w:r>
              <w:fldChar w:fldCharType="end"/>
            </w:r>
            <w:r>
              <w:t>)</w:t>
            </w:r>
            <w:bookmarkEnd w:id="14"/>
          </w:p>
        </w:tc>
      </w:tr>
      <w:tr w:rsidR="005E6218" w14:paraId="0B5B2CAF" w14:textId="77777777" w:rsidTr="00322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53" w:type="dxa"/>
            <w:tcBorders>
              <w:top w:val="nil"/>
              <w:left w:val="nil"/>
              <w:bottom w:val="nil"/>
              <w:right w:val="nil"/>
            </w:tcBorders>
            <w:vAlign w:val="center"/>
          </w:tcPr>
          <w:p w14:paraId="2081C676" w14:textId="77777777" w:rsidR="005E6218" w:rsidRPr="00A4502C" w:rsidRDefault="007D63EF" w:rsidP="00155FD7">
            <w:pPr>
              <w:spacing w:before="120" w:after="120"/>
              <w:jc w:val="right"/>
            </w:pPr>
            <m:oMathPara>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TAPr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4r</m:t>
                    </m:r>
                  </m:sub>
                </m:sSub>
              </m:oMath>
            </m:oMathPara>
          </w:p>
        </w:tc>
        <w:tc>
          <w:tcPr>
            <w:tcW w:w="550" w:type="dxa"/>
            <w:gridSpan w:val="2"/>
            <w:tcBorders>
              <w:top w:val="nil"/>
              <w:left w:val="nil"/>
              <w:bottom w:val="nil"/>
              <w:right w:val="nil"/>
            </w:tcBorders>
            <w:vAlign w:val="center"/>
          </w:tcPr>
          <w:p w14:paraId="2DA76F07" w14:textId="77777777" w:rsidR="005E6218" w:rsidRDefault="005E6218" w:rsidP="00155FD7">
            <w:pPr>
              <w:pStyle w:val="Descripcin"/>
              <w:jc w:val="right"/>
            </w:pPr>
            <w:bookmarkStart w:id="15" w:name="_Ref108553072"/>
            <w:r>
              <w:t>(</w:t>
            </w:r>
            <w:r>
              <w:fldChar w:fldCharType="begin"/>
            </w:r>
            <w:r>
              <w:instrText>SEQ Ecuación \* ARABIC</w:instrText>
            </w:r>
            <w:r>
              <w:fldChar w:fldCharType="separate"/>
            </w:r>
            <w:r>
              <w:rPr>
                <w:noProof/>
              </w:rPr>
              <w:t>6</w:t>
            </w:r>
            <w:r>
              <w:fldChar w:fldCharType="end"/>
            </w:r>
            <w:r>
              <w:t>)</w:t>
            </w:r>
            <w:bookmarkEnd w:id="15"/>
          </w:p>
        </w:tc>
      </w:tr>
      <w:tr w:rsidR="005E6218" w14:paraId="4888D01C" w14:textId="77777777" w:rsidTr="00322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53" w:type="dxa"/>
            <w:tcBorders>
              <w:top w:val="nil"/>
              <w:left w:val="nil"/>
              <w:bottom w:val="nil"/>
              <w:right w:val="nil"/>
            </w:tcBorders>
            <w:vAlign w:val="center"/>
          </w:tcPr>
          <w:p w14:paraId="43CDFC32" w14:textId="77777777" w:rsidR="005E6218" w:rsidRPr="00A4502C" w:rsidRDefault="007D63EF" w:rsidP="00155FD7">
            <w:pPr>
              <w:spacing w:before="120" w:after="120"/>
              <w:jc w:val="right"/>
            </w:pPr>
            <m:oMathPara>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Hrec</m:t>
                    </m:r>
                  </m:sub>
                </m:sSub>
                <m:r>
                  <m:rPr>
                    <m:sty m:val="p"/>
                  </m:rPr>
                  <w:rPr>
                    <w:rFonts w:ascii="Cambria Math" w:hAnsi="Cambria Math"/>
                  </w:rPr>
                  <m:t>=y</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6</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4r</m:t>
                        </m:r>
                      </m:sub>
                    </m:sSub>
                  </m:e>
                </m:d>
              </m:oMath>
            </m:oMathPara>
          </w:p>
        </w:tc>
        <w:tc>
          <w:tcPr>
            <w:tcW w:w="550" w:type="dxa"/>
            <w:gridSpan w:val="2"/>
            <w:tcBorders>
              <w:top w:val="nil"/>
              <w:left w:val="nil"/>
              <w:bottom w:val="nil"/>
              <w:right w:val="nil"/>
            </w:tcBorders>
            <w:vAlign w:val="center"/>
          </w:tcPr>
          <w:p w14:paraId="5050D85A" w14:textId="77777777" w:rsidR="005E6218" w:rsidRDefault="005E6218" w:rsidP="00155FD7">
            <w:pPr>
              <w:pStyle w:val="Descripcin"/>
              <w:jc w:val="right"/>
            </w:pPr>
            <w:bookmarkStart w:id="16" w:name="_Ref108554041"/>
            <w:r>
              <w:t>(</w:t>
            </w:r>
            <w:r>
              <w:fldChar w:fldCharType="begin"/>
            </w:r>
            <w:r>
              <w:instrText>SEQ Ecuación \* ARABIC</w:instrText>
            </w:r>
            <w:r>
              <w:fldChar w:fldCharType="separate"/>
            </w:r>
            <w:r>
              <w:rPr>
                <w:noProof/>
              </w:rPr>
              <w:t>7</w:t>
            </w:r>
            <w:r>
              <w:fldChar w:fldCharType="end"/>
            </w:r>
            <w:r>
              <w:t>)</w:t>
            </w:r>
            <w:bookmarkEnd w:id="16"/>
          </w:p>
        </w:tc>
      </w:tr>
      <w:tr w:rsidR="005E6218" w14:paraId="0E61E08A" w14:textId="77777777" w:rsidTr="00322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53" w:type="dxa"/>
            <w:tcBorders>
              <w:top w:val="nil"/>
              <w:left w:val="nil"/>
              <w:bottom w:val="nil"/>
              <w:right w:val="nil"/>
            </w:tcBorders>
            <w:vAlign w:val="center"/>
          </w:tcPr>
          <w:p w14:paraId="43A48CBA" w14:textId="77777777" w:rsidR="005E6218" w:rsidRPr="00A4502C" w:rsidRDefault="007D63EF" w:rsidP="00155FD7">
            <w:pPr>
              <w:spacing w:before="120" w:after="120"/>
              <w:jc w:val="right"/>
            </w:pPr>
            <m:oMathPara>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TBPr</m:t>
                    </m:r>
                  </m:sub>
                </m:sSub>
                <m:r>
                  <m:rPr>
                    <m:sty m:val="p"/>
                  </m:rPr>
                  <w:rPr>
                    <w:rFonts w:ascii="Cambria Math" w:hAnsi="Cambria Math"/>
                  </w:rPr>
                  <m:t>=y</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6</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7r</m:t>
                        </m:r>
                      </m:sub>
                    </m:sSub>
                  </m:e>
                </m:d>
              </m:oMath>
            </m:oMathPara>
          </w:p>
        </w:tc>
        <w:tc>
          <w:tcPr>
            <w:tcW w:w="550" w:type="dxa"/>
            <w:gridSpan w:val="2"/>
            <w:tcBorders>
              <w:top w:val="nil"/>
              <w:left w:val="nil"/>
              <w:bottom w:val="nil"/>
              <w:right w:val="nil"/>
            </w:tcBorders>
            <w:vAlign w:val="center"/>
          </w:tcPr>
          <w:p w14:paraId="1AB78B26" w14:textId="77777777" w:rsidR="005E6218" w:rsidRDefault="005E6218" w:rsidP="00155FD7">
            <w:pPr>
              <w:pStyle w:val="Descripcin"/>
              <w:jc w:val="right"/>
            </w:pPr>
            <w:bookmarkStart w:id="17" w:name="_Ref108554394"/>
            <w:r>
              <w:t>(</w:t>
            </w:r>
            <w:r>
              <w:fldChar w:fldCharType="begin"/>
            </w:r>
            <w:r>
              <w:instrText>SEQ Ecuación \* ARABIC</w:instrText>
            </w:r>
            <w:r>
              <w:fldChar w:fldCharType="separate"/>
            </w:r>
            <w:r>
              <w:rPr>
                <w:noProof/>
              </w:rPr>
              <w:t>8</w:t>
            </w:r>
            <w:r>
              <w:fldChar w:fldCharType="end"/>
            </w:r>
            <w:r>
              <w:t>)</w:t>
            </w:r>
            <w:bookmarkEnd w:id="17"/>
          </w:p>
        </w:tc>
      </w:tr>
      <w:tr w:rsidR="005E6218" w14:paraId="7ADF46DD" w14:textId="77777777" w:rsidTr="00322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53" w:type="dxa"/>
            <w:tcBorders>
              <w:top w:val="nil"/>
              <w:left w:val="nil"/>
              <w:bottom w:val="nil"/>
              <w:right w:val="nil"/>
            </w:tcBorders>
            <w:vAlign w:val="center"/>
          </w:tcPr>
          <w:p w14:paraId="5BEFB64B" w14:textId="77777777" w:rsidR="005E6218" w:rsidRPr="00A4502C" w:rsidRDefault="007D63EF" w:rsidP="00155FD7">
            <w:pPr>
              <w:spacing w:before="120" w:after="120"/>
              <w:jc w:val="right"/>
            </w:pPr>
            <m:oMathPara>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L</m:t>
                    </m:r>
                  </m:sub>
                </m:sSub>
                <m:r>
                  <m:rPr>
                    <m:sty m:val="p"/>
                  </m:rPr>
                  <w:rPr>
                    <w:rFonts w:ascii="Cambria Math" w:hAnsi="Cambria Math"/>
                  </w:rPr>
                  <m:t>=y</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7r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8</m:t>
                        </m:r>
                      </m:sub>
                    </m:sSub>
                  </m:e>
                </m:d>
              </m:oMath>
            </m:oMathPara>
          </w:p>
        </w:tc>
        <w:tc>
          <w:tcPr>
            <w:tcW w:w="550" w:type="dxa"/>
            <w:gridSpan w:val="2"/>
            <w:tcBorders>
              <w:top w:val="nil"/>
              <w:left w:val="nil"/>
              <w:bottom w:val="nil"/>
              <w:right w:val="nil"/>
            </w:tcBorders>
            <w:vAlign w:val="center"/>
          </w:tcPr>
          <w:p w14:paraId="163142E0" w14:textId="77777777" w:rsidR="005E6218" w:rsidRDefault="005E6218" w:rsidP="00155FD7">
            <w:pPr>
              <w:pStyle w:val="Descripcin"/>
              <w:jc w:val="right"/>
            </w:pPr>
            <w:bookmarkStart w:id="18" w:name="_Ref108554847"/>
            <w:r>
              <w:t>(</w:t>
            </w:r>
            <w:r>
              <w:fldChar w:fldCharType="begin"/>
            </w:r>
            <w:r>
              <w:instrText>SEQ Ecuación \* ARABIC</w:instrText>
            </w:r>
            <w:r>
              <w:fldChar w:fldCharType="separate"/>
            </w:r>
            <w:r>
              <w:rPr>
                <w:noProof/>
              </w:rPr>
              <w:t>9</w:t>
            </w:r>
            <w:r>
              <w:fldChar w:fldCharType="end"/>
            </w:r>
            <w:r>
              <w:t>)</w:t>
            </w:r>
            <w:bookmarkEnd w:id="18"/>
          </w:p>
        </w:tc>
      </w:tr>
      <w:tr w:rsidR="005E6218" w14:paraId="0C3A2B6E" w14:textId="77777777" w:rsidTr="00322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53" w:type="dxa"/>
            <w:tcBorders>
              <w:top w:val="nil"/>
              <w:left w:val="nil"/>
              <w:bottom w:val="nil"/>
              <w:right w:val="nil"/>
            </w:tcBorders>
            <w:vAlign w:val="center"/>
          </w:tcPr>
          <w:p w14:paraId="62AE9507" w14:textId="77777777" w:rsidR="005E6218" w:rsidRDefault="007D63EF" w:rsidP="00155FD7">
            <w:pPr>
              <w:spacing w:before="120" w:after="120"/>
              <w:jc w:val="right"/>
              <w:rPr>
                <w:rFonts w:eastAsia="Calibri" w:cs="Times New Roman"/>
              </w:rPr>
            </w:pPr>
            <m:oMathPara>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Pr8</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v</m:t>
                        </m:r>
                      </m:e>
                      <m:sub>
                        <m:r>
                          <m:rPr>
                            <m:sty m:val="p"/>
                          </m:rPr>
                          <w:rPr>
                            <w:rFonts w:ascii="Cambria Math" w:hAnsi="Cambria Math"/>
                          </w:rPr>
                          <m:t>f8</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9</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8</m:t>
                            </m:r>
                          </m:sub>
                        </m:sSub>
                      </m:e>
                    </m:d>
                  </m:num>
                  <m:den>
                    <m:sSub>
                      <m:sSubPr>
                        <m:ctrlPr>
                          <w:rPr>
                            <w:rFonts w:ascii="Cambria Math" w:hAnsi="Cambria Math"/>
                          </w:rPr>
                        </m:ctrlPr>
                      </m:sSubPr>
                      <m:e>
                        <m:r>
                          <m:rPr>
                            <m:sty m:val="p"/>
                          </m:rPr>
                          <w:rPr>
                            <w:rFonts w:ascii="Cambria Math" w:hAnsi="Cambria Math"/>
                          </w:rPr>
                          <m:t>η</m:t>
                        </m:r>
                      </m:e>
                      <m:sub>
                        <m:r>
                          <m:rPr>
                            <m:sty m:val="p"/>
                          </m:rPr>
                          <w:rPr>
                            <w:rFonts w:ascii="Cambria Math" w:hAnsi="Cambria Math"/>
                          </w:rPr>
                          <m:t>P</m:t>
                        </m:r>
                      </m:sub>
                    </m:sSub>
                  </m:den>
                </m:f>
              </m:oMath>
            </m:oMathPara>
          </w:p>
        </w:tc>
        <w:tc>
          <w:tcPr>
            <w:tcW w:w="550" w:type="dxa"/>
            <w:gridSpan w:val="2"/>
            <w:tcBorders>
              <w:top w:val="nil"/>
              <w:left w:val="nil"/>
              <w:bottom w:val="nil"/>
              <w:right w:val="nil"/>
            </w:tcBorders>
            <w:vAlign w:val="center"/>
          </w:tcPr>
          <w:p w14:paraId="5E981A6A" w14:textId="77777777" w:rsidR="005E6218" w:rsidRDefault="005E6218" w:rsidP="00155FD7">
            <w:pPr>
              <w:pStyle w:val="Descripcin"/>
              <w:jc w:val="right"/>
            </w:pPr>
            <w:r>
              <w:t>(</w:t>
            </w:r>
            <w:r>
              <w:fldChar w:fldCharType="begin"/>
            </w:r>
            <w:r>
              <w:instrText>SEQ Ecuación \* ARABIC</w:instrText>
            </w:r>
            <w:r>
              <w:fldChar w:fldCharType="separate"/>
            </w:r>
            <w:r>
              <w:rPr>
                <w:noProof/>
              </w:rPr>
              <w:t>10</w:t>
            </w:r>
            <w:r>
              <w:fldChar w:fldCharType="end"/>
            </w:r>
            <w:r>
              <w:rPr>
                <w:noProof/>
              </w:rPr>
              <w:t>)</w:t>
            </w:r>
          </w:p>
        </w:tc>
      </w:tr>
      <w:tr w:rsidR="00E05D8B" w14:paraId="429C1347" w14:textId="77777777" w:rsidTr="00322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53" w:type="dxa"/>
            <w:tcBorders>
              <w:top w:val="nil"/>
              <w:left w:val="nil"/>
              <w:bottom w:val="nil"/>
              <w:right w:val="nil"/>
            </w:tcBorders>
          </w:tcPr>
          <w:p w14:paraId="7638911C" w14:textId="77777777" w:rsidR="00E05D8B" w:rsidRPr="00A4502C" w:rsidRDefault="007D63EF" w:rsidP="00155FD7">
            <w:pPr>
              <w:spacing w:before="120" w:after="120"/>
              <w:jc w:val="right"/>
            </w:pPr>
            <m:oMathPara>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LDH</m:t>
                    </m:r>
                  </m:sub>
                </m:sSub>
                <m:r>
                  <m:rPr>
                    <m:sty m:val="p"/>
                  </m:rPr>
                  <w:rPr>
                    <w:rFonts w:ascii="Cambria Math" w:hAnsi="Cambria Math"/>
                  </w:rPr>
                  <m:t>=</m:t>
                </m:r>
                <m:d>
                  <m:dPr>
                    <m:ctrlPr>
                      <w:rPr>
                        <w:rFonts w:ascii="Cambria Math" w:hAnsi="Cambria Math"/>
                      </w:rPr>
                    </m:ctrlPr>
                  </m:dPr>
                  <m:e>
                    <m:r>
                      <m:rPr>
                        <m:sty m:val="p"/>
                      </m:rPr>
                      <w:rPr>
                        <w:rFonts w:ascii="Cambria Math" w:hAnsi="Cambria Math"/>
                      </w:rPr>
                      <m:t>1-y</m:t>
                    </m:r>
                  </m:e>
                </m:d>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10</m:t>
                        </m:r>
                      </m:sub>
                    </m:sSub>
                  </m:e>
                </m:d>
              </m:oMath>
            </m:oMathPara>
          </w:p>
        </w:tc>
        <w:tc>
          <w:tcPr>
            <w:tcW w:w="550" w:type="dxa"/>
            <w:gridSpan w:val="2"/>
            <w:tcBorders>
              <w:top w:val="nil"/>
              <w:left w:val="nil"/>
              <w:bottom w:val="nil"/>
              <w:right w:val="nil"/>
            </w:tcBorders>
          </w:tcPr>
          <w:p w14:paraId="7323E1D8" w14:textId="77777777" w:rsidR="00E05D8B" w:rsidRDefault="00E05D8B" w:rsidP="00155FD7">
            <w:pPr>
              <w:pStyle w:val="Descripcin"/>
              <w:jc w:val="right"/>
            </w:pPr>
            <w:bookmarkStart w:id="19" w:name="_Ref108555405"/>
            <w:r>
              <w:t>(</w:t>
            </w:r>
            <w:r>
              <w:fldChar w:fldCharType="begin"/>
            </w:r>
            <w:r>
              <w:instrText>SEQ Ecuación \* ARABIC</w:instrText>
            </w:r>
            <w:r>
              <w:fldChar w:fldCharType="separate"/>
            </w:r>
            <w:r>
              <w:rPr>
                <w:noProof/>
              </w:rPr>
              <w:t>11</w:t>
            </w:r>
            <w:r>
              <w:fldChar w:fldCharType="end"/>
            </w:r>
            <w:r>
              <w:t>)</w:t>
            </w:r>
            <w:bookmarkEnd w:id="19"/>
          </w:p>
        </w:tc>
      </w:tr>
      <w:tr w:rsidR="00E05D8B" w14:paraId="747F794A" w14:textId="77777777" w:rsidTr="00322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53" w:type="dxa"/>
            <w:tcBorders>
              <w:top w:val="nil"/>
              <w:left w:val="nil"/>
              <w:bottom w:val="nil"/>
              <w:right w:val="nil"/>
            </w:tcBorders>
          </w:tcPr>
          <w:p w14:paraId="789C75B6" w14:textId="77777777" w:rsidR="00E05D8B" w:rsidRPr="00A4502C" w:rsidRDefault="007D63EF" w:rsidP="00155FD7">
            <w:pPr>
              <w:spacing w:before="120" w:after="120"/>
              <w:jc w:val="right"/>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1</m:t>
                    </m:r>
                  </m:sub>
                </m:sSub>
                <m:r>
                  <m:rPr>
                    <m:sty m:val="p"/>
                  </m:rPr>
                  <w:rPr>
                    <w:rFonts w:ascii="Cambria Math" w:hAnsi="Cambria Math"/>
                  </w:rPr>
                  <m:t>=</m:t>
                </m:r>
                <m:d>
                  <m:dPr>
                    <m:ctrlPr>
                      <w:rPr>
                        <w:rFonts w:ascii="Cambria Math" w:hAnsi="Cambria Math"/>
                      </w:rPr>
                    </m:ctrlPr>
                  </m:dPr>
                  <m:e>
                    <m:r>
                      <m:rPr>
                        <m:sty m:val="p"/>
                      </m:rPr>
                      <w:rPr>
                        <w:rFonts w:ascii="Cambria Math" w:hAnsi="Cambria Math"/>
                      </w:rPr>
                      <m:t>1-y</m:t>
                    </m:r>
                  </m:e>
                </m:d>
                <m:sSub>
                  <m:sSubPr>
                    <m:ctrlPr>
                      <w:rPr>
                        <w:rFonts w:ascii="Cambria Math" w:hAnsi="Cambria Math"/>
                      </w:rPr>
                    </m:ctrlPr>
                  </m:sSubPr>
                  <m:e>
                    <m:r>
                      <m:rPr>
                        <m:sty m:val="p"/>
                      </m:rPr>
                      <w:rPr>
                        <w:rFonts w:ascii="Cambria Math" w:hAnsi="Cambria Math"/>
                      </w:rPr>
                      <m:t>h</m:t>
                    </m:r>
                  </m:e>
                  <m:sub>
                    <m:r>
                      <m:rPr>
                        <m:sty m:val="p"/>
                      </m:rPr>
                      <w:rPr>
                        <w:rFonts w:ascii="Cambria Math" w:hAnsi="Cambria Math"/>
                      </w:rPr>
                      <m:t>10</m:t>
                    </m:r>
                  </m:sub>
                </m:sSub>
                <m:r>
                  <m:rPr>
                    <m:sty m:val="p"/>
                  </m:rPr>
                  <w:rPr>
                    <w:rFonts w:ascii="Cambria Math" w:hAnsi="Cambria Math"/>
                  </w:rPr>
                  <m:t>+y</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9</m:t>
                    </m:r>
                  </m:sub>
                </m:sSub>
              </m:oMath>
            </m:oMathPara>
          </w:p>
        </w:tc>
        <w:tc>
          <w:tcPr>
            <w:tcW w:w="550" w:type="dxa"/>
            <w:gridSpan w:val="2"/>
            <w:tcBorders>
              <w:top w:val="nil"/>
              <w:left w:val="nil"/>
              <w:bottom w:val="nil"/>
              <w:right w:val="nil"/>
            </w:tcBorders>
          </w:tcPr>
          <w:p w14:paraId="255CCF0A" w14:textId="77777777" w:rsidR="00E05D8B" w:rsidRDefault="00E05D8B" w:rsidP="00155FD7">
            <w:pPr>
              <w:pStyle w:val="Descripcin"/>
              <w:jc w:val="right"/>
            </w:pPr>
            <w:bookmarkStart w:id="20" w:name="_Ref108555639"/>
            <w:r>
              <w:t>(</w:t>
            </w:r>
            <w:r>
              <w:fldChar w:fldCharType="begin"/>
            </w:r>
            <w:r>
              <w:instrText>SEQ Ecuación \* ARABIC</w:instrText>
            </w:r>
            <w:r>
              <w:fldChar w:fldCharType="separate"/>
            </w:r>
            <w:r>
              <w:rPr>
                <w:noProof/>
              </w:rPr>
              <w:t>12</w:t>
            </w:r>
            <w:r>
              <w:fldChar w:fldCharType="end"/>
            </w:r>
            <w:r>
              <w:t>)</w:t>
            </w:r>
            <w:bookmarkEnd w:id="20"/>
          </w:p>
        </w:tc>
      </w:tr>
      <w:tr w:rsidR="00E05D8B" w14:paraId="69DA0DCB" w14:textId="77777777" w:rsidTr="00322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53" w:type="dxa"/>
            <w:tcBorders>
              <w:top w:val="nil"/>
              <w:left w:val="nil"/>
              <w:bottom w:val="nil"/>
              <w:right w:val="nil"/>
            </w:tcBorders>
          </w:tcPr>
          <w:p w14:paraId="595CF0BC" w14:textId="77777777" w:rsidR="00E05D8B" w:rsidRPr="00A4502C" w:rsidRDefault="007D63EF" w:rsidP="00155FD7">
            <w:pPr>
              <w:spacing w:before="120" w:after="120"/>
              <w:jc w:val="right"/>
            </w:pPr>
            <m:oMathPara>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neto</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W</m:t>
                    </m:r>
                  </m:e>
                  <m:sub>
                    <m:r>
                      <m:rPr>
                        <m:sty m:val="p"/>
                      </m:rPr>
                      <w:rPr>
                        <w:rFonts w:ascii="Cambria Math" w:hAnsi="Cambria Math"/>
                      </w:rPr>
                      <m:t>TAPr</m:t>
                    </m:r>
                  </m:sub>
                </m:sSub>
                <m:r>
                  <m:rPr>
                    <m:sty m:val="p"/>
                  </m:rPr>
                  <w:rPr>
                    <w:rFonts w:ascii="Cambria Math" w:hAnsi="Cambria Math"/>
                  </w:rPr>
                  <m:t>+y</m:t>
                </m:r>
                <m:sSub>
                  <m:sSubPr>
                    <m:ctrlPr>
                      <w:rPr>
                        <w:rFonts w:ascii="Cambria Math" w:hAnsi="Cambria Math"/>
                      </w:rPr>
                    </m:ctrlPr>
                  </m:sSubPr>
                  <m:e>
                    <m:r>
                      <m:rPr>
                        <m:sty m:val="p"/>
                      </m:rPr>
                      <w:rPr>
                        <w:rFonts w:ascii="Cambria Math" w:hAnsi="Cambria Math"/>
                      </w:rPr>
                      <m:t>W</m:t>
                    </m:r>
                  </m:e>
                  <m:sub>
                    <m:r>
                      <m:rPr>
                        <m:sty m:val="p"/>
                      </m:rPr>
                      <w:rPr>
                        <w:rFonts w:ascii="Cambria Math" w:hAnsi="Cambria Math"/>
                      </w:rPr>
                      <m:t>TBPr</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W</m:t>
                        </m:r>
                      </m:e>
                      <m:sub>
                        <m:r>
                          <m:rPr>
                            <m:sty m:val="p"/>
                          </m:rPr>
                          <w:rPr>
                            <w:rFonts w:ascii="Cambria Math" w:hAnsi="Cambria Math"/>
                          </w:rPr>
                          <m:t>Pr1</m:t>
                        </m:r>
                      </m:sub>
                    </m:sSub>
                    <m:r>
                      <m:rPr>
                        <m:sty m:val="p"/>
                      </m:rPr>
                      <w:rPr>
                        <w:rFonts w:ascii="Cambria Math" w:hAnsi="Cambria Math"/>
                      </w:rPr>
                      <m:t>+y</m:t>
                    </m:r>
                    <m:sSub>
                      <m:sSubPr>
                        <m:ctrlPr>
                          <w:rPr>
                            <w:rFonts w:ascii="Cambria Math" w:hAnsi="Cambria Math"/>
                          </w:rPr>
                        </m:ctrlPr>
                      </m:sSubPr>
                      <m:e>
                        <m:r>
                          <m:rPr>
                            <m:sty m:val="p"/>
                          </m:rPr>
                          <w:rPr>
                            <w:rFonts w:ascii="Cambria Math" w:hAnsi="Cambria Math"/>
                          </w:rPr>
                          <m:t>W</m:t>
                        </m:r>
                      </m:e>
                      <m:sub>
                        <m:r>
                          <m:rPr>
                            <m:sty m:val="p"/>
                          </m:rPr>
                          <w:rPr>
                            <w:rFonts w:ascii="Cambria Math" w:hAnsi="Cambria Math"/>
                          </w:rPr>
                          <m:t>Pr8</m:t>
                        </m:r>
                      </m:sub>
                    </m:sSub>
                  </m:e>
                </m:d>
              </m:oMath>
            </m:oMathPara>
          </w:p>
        </w:tc>
        <w:tc>
          <w:tcPr>
            <w:tcW w:w="550" w:type="dxa"/>
            <w:gridSpan w:val="2"/>
            <w:tcBorders>
              <w:top w:val="nil"/>
              <w:left w:val="nil"/>
              <w:bottom w:val="nil"/>
              <w:right w:val="nil"/>
            </w:tcBorders>
          </w:tcPr>
          <w:p w14:paraId="5D8C4904" w14:textId="77777777" w:rsidR="00E05D8B" w:rsidRDefault="00E05D8B" w:rsidP="00155FD7">
            <w:pPr>
              <w:pStyle w:val="Descripcin"/>
              <w:jc w:val="right"/>
            </w:pPr>
            <w:bookmarkStart w:id="21" w:name="_Ref108556017"/>
            <w:r>
              <w:t>(</w:t>
            </w:r>
            <w:r>
              <w:fldChar w:fldCharType="begin"/>
            </w:r>
            <w:r>
              <w:instrText>SEQ Ecuación \* ARABIC</w:instrText>
            </w:r>
            <w:r>
              <w:fldChar w:fldCharType="separate"/>
            </w:r>
            <w:r>
              <w:rPr>
                <w:noProof/>
              </w:rPr>
              <w:t>13</w:t>
            </w:r>
            <w:r>
              <w:fldChar w:fldCharType="end"/>
            </w:r>
            <w:r>
              <w:t>)</w:t>
            </w:r>
            <w:bookmarkEnd w:id="21"/>
          </w:p>
        </w:tc>
      </w:tr>
      <w:tr w:rsidR="00E05D8B" w:rsidRPr="00A4502C" w14:paraId="0DC89743" w14:textId="77777777" w:rsidTr="00322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53" w:type="dxa"/>
            <w:tcBorders>
              <w:top w:val="nil"/>
              <w:left w:val="nil"/>
              <w:bottom w:val="nil"/>
              <w:right w:val="nil"/>
            </w:tcBorders>
            <w:shd w:val="clear" w:color="auto" w:fill="auto"/>
          </w:tcPr>
          <w:p w14:paraId="6D5021CD" w14:textId="62CB650F" w:rsidR="00E05D8B" w:rsidRPr="00A4502C" w:rsidRDefault="002C46E7" w:rsidP="00155FD7">
            <w:pPr>
              <w:spacing w:before="120" w:after="120"/>
              <w:jc w:val="right"/>
            </w:pPr>
            <m:oMathPara>
              <m:oMath>
                <m:r>
                  <m:rPr>
                    <m:sty m:val="p"/>
                  </m:rPr>
                  <w:rPr>
                    <w:rFonts w:ascii="Cambria Math" w:hAnsi="Cambria Math"/>
                  </w:rPr>
                  <m:t>η=</m:t>
                </m:r>
                <m:f>
                  <m:fPr>
                    <m:ctrlPr>
                      <w:rPr>
                        <w:rFonts w:ascii="Cambria Math" w:hAnsi="Cambria Math"/>
                      </w:rPr>
                    </m:ctrlPr>
                  </m:fPr>
                  <m:num>
                    <m:sSub>
                      <m:sSubPr>
                        <m:ctrlPr>
                          <w:rPr>
                            <w:rFonts w:ascii="Cambria Math" w:hAnsi="Cambria Math"/>
                          </w:rPr>
                        </m:ctrlPr>
                      </m:sSubPr>
                      <m:e>
                        <m:r>
                          <m:rPr>
                            <m:sty m:val="p"/>
                          </m:rPr>
                          <w:rPr>
                            <w:rFonts w:ascii="Cambria Math" w:hAnsi="Cambria Math"/>
                          </w:rPr>
                          <m:t>W</m:t>
                        </m:r>
                      </m:e>
                      <m:sub>
                        <m:r>
                          <m:rPr>
                            <m:sty m:val="p"/>
                          </m:rPr>
                          <w:rPr>
                            <w:rFonts w:ascii="Cambria Math" w:hAnsi="Cambria Math"/>
                          </w:rPr>
                          <m:t>neto</m:t>
                        </m:r>
                      </m:sub>
                    </m:sSub>
                  </m:num>
                  <m:den>
                    <m:d>
                      <m:dPr>
                        <m:ctrlPr>
                          <w:rPr>
                            <w:rFonts w:ascii="Cambria Math" w:hAnsi="Cambria Math"/>
                          </w:rPr>
                        </m:ctrlPr>
                      </m:dPr>
                      <m:e>
                        <m:sSub>
                          <m:sSubPr>
                            <m:ctrlPr>
                              <w:rPr>
                                <w:rFonts w:ascii="Cambria Math" w:hAnsi="Cambria Math"/>
                              </w:rPr>
                            </m:ctrlPr>
                          </m:sSubPr>
                          <m:e>
                            <m:r>
                              <m:rPr>
                                <m:sty m:val="p"/>
                              </m:rPr>
                              <w:rPr>
                                <w:rFonts w:ascii="Cambria Math" w:hAnsi="Cambria Math"/>
                              </w:rPr>
                              <m:t>Q</m:t>
                            </m:r>
                          </m:e>
                          <m:sub>
                            <m:r>
                              <m:rPr>
                                <m:sty m:val="p"/>
                              </m:rPr>
                              <w:rPr>
                                <w:rFonts w:ascii="Cambria Math" w:hAnsi="Cambria Math"/>
                              </w:rPr>
                              <m:t>H1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Hrec</m:t>
                            </m:r>
                          </m:sub>
                        </m:sSub>
                      </m:e>
                    </m:d>
                  </m:den>
                </m:f>
              </m:oMath>
            </m:oMathPara>
          </w:p>
        </w:tc>
        <w:tc>
          <w:tcPr>
            <w:tcW w:w="550" w:type="dxa"/>
            <w:gridSpan w:val="2"/>
            <w:tcBorders>
              <w:top w:val="nil"/>
              <w:left w:val="nil"/>
              <w:bottom w:val="nil"/>
              <w:right w:val="nil"/>
            </w:tcBorders>
          </w:tcPr>
          <w:p w14:paraId="362D9562" w14:textId="77777777" w:rsidR="00E05D8B" w:rsidRPr="00A4502C" w:rsidRDefault="00E05D8B" w:rsidP="00155FD7">
            <w:pPr>
              <w:pStyle w:val="Descripcin"/>
              <w:jc w:val="right"/>
              <w:rPr>
                <w:iCs w:val="0"/>
              </w:rPr>
            </w:pPr>
            <w:bookmarkStart w:id="22" w:name="_Ref108556667"/>
            <w:r w:rsidRPr="00A4502C">
              <w:rPr>
                <w:iCs w:val="0"/>
              </w:rPr>
              <w:t>(</w:t>
            </w:r>
            <w:r w:rsidRPr="00A4502C">
              <w:rPr>
                <w:iCs w:val="0"/>
              </w:rPr>
              <w:fldChar w:fldCharType="begin"/>
            </w:r>
            <w:r w:rsidRPr="00A4502C">
              <w:rPr>
                <w:iCs w:val="0"/>
              </w:rPr>
              <w:instrText xml:space="preserve"> SEQ Ecuación \* ARABIC </w:instrText>
            </w:r>
            <w:r w:rsidRPr="00A4502C">
              <w:rPr>
                <w:iCs w:val="0"/>
              </w:rPr>
              <w:fldChar w:fldCharType="separate"/>
            </w:r>
            <w:r>
              <w:rPr>
                <w:iCs w:val="0"/>
                <w:noProof/>
              </w:rPr>
              <w:t>14</w:t>
            </w:r>
            <w:r w:rsidRPr="00A4502C">
              <w:rPr>
                <w:iCs w:val="0"/>
                <w:noProof/>
              </w:rPr>
              <w:fldChar w:fldCharType="end"/>
            </w:r>
            <w:r w:rsidRPr="00A4502C">
              <w:rPr>
                <w:iCs w:val="0"/>
              </w:rPr>
              <w:t>)</w:t>
            </w:r>
            <w:bookmarkEnd w:id="22"/>
          </w:p>
        </w:tc>
      </w:tr>
      <w:tr w:rsidR="00E05D8B" w:rsidRPr="00A4502C" w14:paraId="5B13A3E6" w14:textId="77777777" w:rsidTr="00322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53" w:type="dxa"/>
            <w:tcBorders>
              <w:top w:val="nil"/>
              <w:left w:val="nil"/>
              <w:bottom w:val="nil"/>
              <w:right w:val="nil"/>
            </w:tcBorders>
          </w:tcPr>
          <w:p w14:paraId="635FA3D4" w14:textId="77777777" w:rsidR="00E05D8B" w:rsidRPr="00A4502C" w:rsidRDefault="007D63EF" w:rsidP="00155FD7">
            <w:pPr>
              <w:spacing w:before="120" w:after="120"/>
              <w:jc w:val="right"/>
            </w:pPr>
            <m:oMathPara>
              <m:oMath>
                <m:sSub>
                  <m:sSubPr>
                    <m:ctrlPr>
                      <w:rPr>
                        <w:rFonts w:ascii="Cambria Math" w:hAnsi="Cambria Math"/>
                      </w:rPr>
                    </m:ctrlPr>
                  </m:sSubPr>
                  <m:e>
                    <m:r>
                      <m:rPr>
                        <m:sty m:val="p"/>
                      </m:rPr>
                      <w:rPr>
                        <w:rFonts w:ascii="Cambria Math" w:hAnsi="Cambria Math"/>
                      </w:rPr>
                      <m:t>ϵ</m:t>
                    </m:r>
                  </m:e>
                  <m:sub>
                    <m:r>
                      <m:rPr>
                        <m:sty m:val="p"/>
                      </m:rPr>
                      <w:rPr>
                        <w:rFonts w:ascii="Cambria Math" w:hAnsi="Cambria Math"/>
                      </w:rPr>
                      <m:t>u</m:t>
                    </m:r>
                  </m:sub>
                </m:sSub>
                <m:r>
                  <m:rPr>
                    <m:sty m:val="p"/>
                  </m:rPr>
                  <w:rPr>
                    <w:rFonts w:ascii="Cambria Math" w:hAnsi="Cambria Math"/>
                  </w:rPr>
                  <m:t>=</m:t>
                </m:r>
                <m:f>
                  <m:fPr>
                    <m:ctrlPr>
                      <w:rPr>
                        <w:rFonts w:ascii="Cambria Math" w:hAnsi="Cambria Math"/>
                      </w:rPr>
                    </m:ctrlPr>
                  </m:fPr>
                  <m:num>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W</m:t>
                            </m:r>
                          </m:e>
                          <m:sub>
                            <m:r>
                              <m:rPr>
                                <m:sty m:val="p"/>
                              </m:rPr>
                              <w:rPr>
                                <w:rFonts w:ascii="Cambria Math" w:hAnsi="Cambria Math"/>
                              </w:rPr>
                              <m:t>neto</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Q</m:t>
                            </m:r>
                          </m:e>
                          <m:sub>
                            <m:r>
                              <m:rPr>
                                <m:sty m:val="p"/>
                              </m:rPr>
                              <w:rPr>
                                <w:rFonts w:ascii="Cambria Math" w:hAnsi="Cambria Math"/>
                              </w:rPr>
                              <m:t>LDH</m:t>
                            </m:r>
                          </m:sub>
                        </m:sSub>
                      </m:e>
                    </m:acc>
                  </m:num>
                  <m:den>
                    <m:d>
                      <m:dPr>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Q</m:t>
                                </m:r>
                              </m:e>
                              <m:sub>
                                <m:r>
                                  <m:rPr>
                                    <m:sty m:val="p"/>
                                  </m:rPr>
                                  <w:rPr>
                                    <w:rFonts w:ascii="Cambria Math" w:hAnsi="Cambria Math"/>
                                  </w:rPr>
                                  <m:t>H1</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Q</m:t>
                                </m:r>
                              </m:e>
                              <m:sub>
                                <m:r>
                                  <m:rPr>
                                    <m:sty m:val="p"/>
                                  </m:rPr>
                                  <w:rPr>
                                    <w:rFonts w:ascii="Cambria Math" w:hAnsi="Cambria Math"/>
                                  </w:rPr>
                                  <m:t>Hrec</m:t>
                                </m:r>
                              </m:sub>
                            </m:sSub>
                          </m:e>
                        </m:acc>
                      </m:e>
                    </m:d>
                  </m:den>
                </m:f>
              </m:oMath>
            </m:oMathPara>
          </w:p>
        </w:tc>
        <w:tc>
          <w:tcPr>
            <w:tcW w:w="550" w:type="dxa"/>
            <w:gridSpan w:val="2"/>
            <w:tcBorders>
              <w:top w:val="nil"/>
              <w:left w:val="nil"/>
              <w:bottom w:val="nil"/>
              <w:right w:val="nil"/>
            </w:tcBorders>
          </w:tcPr>
          <w:p w14:paraId="671CE896" w14:textId="77777777" w:rsidR="00E05D8B" w:rsidRPr="00A4502C" w:rsidRDefault="00E05D8B" w:rsidP="00155FD7">
            <w:pPr>
              <w:pStyle w:val="Descripcin"/>
              <w:jc w:val="right"/>
              <w:rPr>
                <w:iCs w:val="0"/>
              </w:rPr>
            </w:pPr>
            <w:bookmarkStart w:id="23" w:name="_Ref108557611"/>
            <w:r w:rsidRPr="00A4502C">
              <w:rPr>
                <w:iCs w:val="0"/>
              </w:rPr>
              <w:t>(</w:t>
            </w:r>
            <w:r w:rsidRPr="00A4502C">
              <w:rPr>
                <w:iCs w:val="0"/>
              </w:rPr>
              <w:fldChar w:fldCharType="begin"/>
            </w:r>
            <w:r w:rsidRPr="00A4502C">
              <w:rPr>
                <w:iCs w:val="0"/>
              </w:rPr>
              <w:instrText xml:space="preserve"> SEQ Ecuación \* ARABIC </w:instrText>
            </w:r>
            <w:r w:rsidRPr="00A4502C">
              <w:rPr>
                <w:iCs w:val="0"/>
              </w:rPr>
              <w:fldChar w:fldCharType="separate"/>
            </w:r>
            <w:r>
              <w:rPr>
                <w:iCs w:val="0"/>
                <w:noProof/>
              </w:rPr>
              <w:t>15</w:t>
            </w:r>
            <w:r w:rsidRPr="00A4502C">
              <w:rPr>
                <w:iCs w:val="0"/>
                <w:noProof/>
              </w:rPr>
              <w:fldChar w:fldCharType="end"/>
            </w:r>
            <w:r w:rsidRPr="00A4502C">
              <w:rPr>
                <w:iCs w:val="0"/>
              </w:rPr>
              <w:t>)</w:t>
            </w:r>
            <w:bookmarkEnd w:id="23"/>
          </w:p>
        </w:tc>
      </w:tr>
      <w:tr w:rsidR="00E05D8B" w:rsidRPr="00A4502C" w14:paraId="12DC55BE" w14:textId="77777777" w:rsidTr="00322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53" w:type="dxa"/>
            <w:tcBorders>
              <w:top w:val="nil"/>
              <w:left w:val="nil"/>
              <w:bottom w:val="nil"/>
              <w:right w:val="nil"/>
            </w:tcBorders>
          </w:tcPr>
          <w:p w14:paraId="1B838D7E" w14:textId="6BC43F05" w:rsidR="00E05D8B" w:rsidRPr="00AA4FC0" w:rsidRDefault="007D63EF" w:rsidP="00155FD7">
            <w:pPr>
              <w:spacing w:before="120" w:after="120"/>
              <w:jc w:val="right"/>
              <w:rPr>
                <w:iCs/>
              </w:rPr>
            </w:pPr>
            <m:oMathPara>
              <m:oMath>
                <m:sSub>
                  <m:sSubPr>
                    <m:ctrlPr>
                      <w:rPr>
                        <w:rFonts w:ascii="Cambria Math" w:hAnsi="Cambria Math"/>
                        <w:iCs/>
                      </w:rPr>
                    </m:ctrlPr>
                  </m:sSubPr>
                  <m:e>
                    <m:acc>
                      <m:accPr>
                        <m:chr m:val="̇"/>
                        <m:ctrlPr>
                          <w:rPr>
                            <w:rFonts w:ascii="Cambria Math" w:hAnsi="Cambria Math"/>
                            <w:iCs/>
                          </w:rPr>
                        </m:ctrlPr>
                      </m:accPr>
                      <m:e>
                        <m:r>
                          <m:rPr>
                            <m:sty m:val="p"/>
                          </m:rPr>
                          <w:rPr>
                            <w:rFonts w:ascii="Cambria Math" w:hAnsi="Cambria Math"/>
                          </w:rPr>
                          <m:t>m</m:t>
                        </m:r>
                      </m:e>
                    </m:acc>
                  </m:e>
                  <m:sub>
                    <m:r>
                      <m:rPr>
                        <m:sty m:val="p"/>
                      </m:rPr>
                      <w:rPr>
                        <w:rFonts w:ascii="Cambria Math" w:hAnsi="Cambria Math"/>
                      </w:rPr>
                      <m:t>v</m:t>
                    </m:r>
                  </m:sub>
                </m:sSub>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acc>
                          <m:accPr>
                            <m:chr m:val="̇"/>
                            <m:ctrlPr>
                              <w:rPr>
                                <w:rFonts w:ascii="Cambria Math" w:hAnsi="Cambria Math"/>
                                <w:iCs/>
                              </w:rPr>
                            </m:ctrlPr>
                          </m:accPr>
                          <m:e>
                            <m:r>
                              <m:rPr>
                                <m:sty m:val="p"/>
                              </m:rPr>
                              <w:rPr>
                                <w:rFonts w:ascii="Cambria Math" w:hAnsi="Cambria Math"/>
                              </w:rPr>
                              <m:t>m</m:t>
                            </m:r>
                          </m:e>
                        </m:acc>
                      </m:e>
                      <m:sub>
                        <m:r>
                          <m:rPr>
                            <m:sty m:val="p"/>
                          </m:rPr>
                          <w:rPr>
                            <w:rFonts w:ascii="Cambria Math" w:hAnsi="Cambria Math"/>
                          </w:rPr>
                          <m:t>RSU</m:t>
                        </m:r>
                      </m:sub>
                    </m:sSub>
                    <m:sSub>
                      <m:sSubPr>
                        <m:ctrlPr>
                          <w:rPr>
                            <w:rFonts w:ascii="Cambria Math" w:hAnsi="Cambria Math"/>
                            <w:iCs/>
                          </w:rPr>
                        </m:ctrlPr>
                      </m:sSubPr>
                      <m:e>
                        <m:r>
                          <m:rPr>
                            <m:sty m:val="p"/>
                          </m:rPr>
                          <w:rPr>
                            <w:rFonts w:ascii="Cambria Math" w:hAnsi="Cambria Math"/>
                          </w:rPr>
                          <m:t>LHV</m:t>
                        </m:r>
                      </m:e>
                      <m:sub>
                        <m:r>
                          <m:rPr>
                            <m:sty m:val="p"/>
                          </m:rPr>
                          <w:rPr>
                            <w:rFonts w:ascii="Cambria Math" w:hAnsi="Cambria Math"/>
                          </w:rPr>
                          <m:t>RSU</m:t>
                        </m:r>
                      </m:sub>
                    </m:sSub>
                    <m:sSub>
                      <m:sSubPr>
                        <m:ctrlPr>
                          <w:rPr>
                            <w:rFonts w:ascii="Cambria Math" w:hAnsi="Cambria Math"/>
                            <w:iCs/>
                          </w:rPr>
                        </m:ctrlPr>
                      </m:sSubPr>
                      <m:e>
                        <m:r>
                          <m:rPr>
                            <m:sty m:val="p"/>
                          </m:rPr>
                          <w:rPr>
                            <w:rFonts w:ascii="Cambria Math" w:hAnsi="Cambria Math"/>
                          </w:rPr>
                          <m:t>η</m:t>
                        </m:r>
                      </m:e>
                      <m:sub>
                        <m:r>
                          <m:rPr>
                            <m:sty m:val="p"/>
                          </m:rPr>
                          <w:rPr>
                            <w:rFonts w:ascii="Cambria Math" w:hAnsi="Cambria Math"/>
                          </w:rPr>
                          <m:t>cal</m:t>
                        </m:r>
                      </m:sub>
                    </m:sSub>
                  </m:num>
                  <m:den>
                    <m:d>
                      <m:dPr>
                        <m:ctrlPr>
                          <w:rPr>
                            <w:rFonts w:ascii="Cambria Math" w:hAnsi="Cambria Math"/>
                            <w:iCs/>
                          </w:rPr>
                        </m:ctrlPr>
                      </m:dPr>
                      <m:e>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2r</m:t>
                            </m:r>
                          </m:sub>
                        </m:sSub>
                      </m:e>
                    </m:d>
                    <m:r>
                      <m:rPr>
                        <m:sty m:val="p"/>
                      </m:rPr>
                      <w:rPr>
                        <w:rFonts w:ascii="Cambria Math" w:hAnsi="Cambria Math"/>
                      </w:rPr>
                      <m:t>+y</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6</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4r</m:t>
                            </m:r>
                          </m:sub>
                        </m:sSub>
                      </m:e>
                    </m:d>
                  </m:den>
                </m:f>
              </m:oMath>
            </m:oMathPara>
          </w:p>
        </w:tc>
        <w:tc>
          <w:tcPr>
            <w:tcW w:w="550" w:type="dxa"/>
            <w:gridSpan w:val="2"/>
            <w:tcBorders>
              <w:top w:val="nil"/>
              <w:left w:val="nil"/>
              <w:bottom w:val="nil"/>
              <w:right w:val="nil"/>
            </w:tcBorders>
          </w:tcPr>
          <w:p w14:paraId="20D7D392" w14:textId="77777777" w:rsidR="00E05D8B" w:rsidRPr="00A4502C" w:rsidRDefault="00E05D8B" w:rsidP="00155FD7">
            <w:pPr>
              <w:pStyle w:val="Descripcin"/>
              <w:jc w:val="right"/>
              <w:rPr>
                <w:iCs w:val="0"/>
              </w:rPr>
            </w:pPr>
            <w:bookmarkStart w:id="24" w:name="_Ref113294614"/>
            <w:r w:rsidRPr="00A4502C">
              <w:rPr>
                <w:iCs w:val="0"/>
              </w:rPr>
              <w:t>(</w:t>
            </w:r>
            <w:r w:rsidRPr="00A4502C">
              <w:rPr>
                <w:iCs w:val="0"/>
              </w:rPr>
              <w:fldChar w:fldCharType="begin"/>
            </w:r>
            <w:r w:rsidRPr="00A4502C">
              <w:rPr>
                <w:iCs w:val="0"/>
              </w:rPr>
              <w:instrText xml:space="preserve"> SEQ Ecuación \* ARABIC </w:instrText>
            </w:r>
            <w:r w:rsidRPr="00A4502C">
              <w:rPr>
                <w:iCs w:val="0"/>
              </w:rPr>
              <w:fldChar w:fldCharType="separate"/>
            </w:r>
            <w:r>
              <w:rPr>
                <w:iCs w:val="0"/>
                <w:noProof/>
              </w:rPr>
              <w:t>16</w:t>
            </w:r>
            <w:r w:rsidRPr="00A4502C">
              <w:rPr>
                <w:iCs w:val="0"/>
                <w:noProof/>
              </w:rPr>
              <w:fldChar w:fldCharType="end"/>
            </w:r>
            <w:r w:rsidRPr="00A4502C">
              <w:rPr>
                <w:iCs w:val="0"/>
              </w:rPr>
              <w:t>)</w:t>
            </w:r>
            <w:bookmarkEnd w:id="24"/>
          </w:p>
        </w:tc>
      </w:tr>
    </w:tbl>
    <w:p w14:paraId="5257C8EC" w14:textId="13D5E71B" w:rsidR="002D5930" w:rsidRPr="00DA255A" w:rsidRDefault="00DE0071" w:rsidP="00DA255A">
      <w:pPr>
        <w:pStyle w:val="TablaTtulo"/>
        <w:spacing w:after="200"/>
        <w:jc w:val="left"/>
        <w:rPr>
          <w:sz w:val="18"/>
          <w:szCs w:val="16"/>
        </w:rPr>
      </w:pPr>
      <w:bookmarkStart w:id="25" w:name="_Ref110490597"/>
      <w:r w:rsidRPr="00DA255A">
        <w:rPr>
          <w:sz w:val="18"/>
          <w:szCs w:val="16"/>
        </w:rPr>
        <w:t xml:space="preserve">Tabla </w:t>
      </w:r>
      <w:r w:rsidR="005C0089" w:rsidRPr="00DA255A">
        <w:rPr>
          <w:sz w:val="18"/>
          <w:szCs w:val="16"/>
        </w:rPr>
        <w:fldChar w:fldCharType="begin"/>
      </w:r>
      <w:r w:rsidR="005C0089" w:rsidRPr="00DA255A">
        <w:rPr>
          <w:sz w:val="18"/>
          <w:szCs w:val="16"/>
        </w:rPr>
        <w:instrText xml:space="preserve"> SEQ Tabla \* ARABIC </w:instrText>
      </w:r>
      <w:r w:rsidR="005C0089" w:rsidRPr="00DA255A">
        <w:rPr>
          <w:sz w:val="18"/>
          <w:szCs w:val="16"/>
        </w:rPr>
        <w:fldChar w:fldCharType="separate"/>
      </w:r>
      <w:r w:rsidRPr="00DA255A">
        <w:rPr>
          <w:sz w:val="18"/>
          <w:szCs w:val="16"/>
        </w:rPr>
        <w:t>6</w:t>
      </w:r>
      <w:r w:rsidR="005C0089" w:rsidRPr="00DA255A">
        <w:rPr>
          <w:sz w:val="18"/>
          <w:szCs w:val="16"/>
        </w:rPr>
        <w:fldChar w:fldCharType="end"/>
      </w:r>
      <w:bookmarkEnd w:id="25"/>
      <w:r w:rsidRPr="00DA255A">
        <w:rPr>
          <w:sz w:val="18"/>
          <w:szCs w:val="16"/>
        </w:rPr>
        <w:t xml:space="preserve"> Variables del ciclo termodinámico</w:t>
      </w:r>
    </w:p>
    <w:tbl>
      <w:tblPr>
        <w:tblStyle w:val="Tablaconcuadrcula"/>
        <w:tblW w:w="4390" w:type="dxa"/>
        <w:jc w:val="center"/>
        <w:tblLook w:val="04A0" w:firstRow="1" w:lastRow="0" w:firstColumn="1" w:lastColumn="0" w:noHBand="0" w:noVBand="1"/>
      </w:tblPr>
      <w:tblGrid>
        <w:gridCol w:w="3023"/>
        <w:gridCol w:w="1367"/>
      </w:tblGrid>
      <w:tr w:rsidR="007C61DF" w14:paraId="274AF8FC" w14:textId="77777777" w:rsidTr="00D90B62">
        <w:trPr>
          <w:jc w:val="center"/>
        </w:trPr>
        <w:tc>
          <w:tcPr>
            <w:tcW w:w="3023" w:type="dxa"/>
            <w:tcBorders>
              <w:left w:val="single" w:sz="4" w:space="0" w:color="auto"/>
              <w:right w:val="single" w:sz="4" w:space="0" w:color="auto"/>
            </w:tcBorders>
            <w:shd w:val="clear" w:color="auto" w:fill="E7E6E6" w:themeFill="background2"/>
          </w:tcPr>
          <w:p w14:paraId="75A86FC7" w14:textId="1FEA3337" w:rsidR="007C61DF" w:rsidRPr="002E540F" w:rsidRDefault="007C61DF">
            <w:pPr>
              <w:rPr>
                <w:noProof/>
                <w:lang w:eastAsia="es-CO"/>
              </w:rPr>
            </w:pPr>
            <w:r>
              <w:rPr>
                <w:noProof/>
                <w:lang w:eastAsia="es-CO"/>
              </w:rPr>
              <w:t>Variable</w:t>
            </w:r>
          </w:p>
        </w:tc>
        <w:tc>
          <w:tcPr>
            <w:tcW w:w="1367" w:type="dxa"/>
            <w:tcBorders>
              <w:left w:val="single" w:sz="4" w:space="0" w:color="auto"/>
              <w:right w:val="single" w:sz="4" w:space="0" w:color="auto"/>
            </w:tcBorders>
            <w:shd w:val="clear" w:color="auto" w:fill="E7E6E6" w:themeFill="background2"/>
          </w:tcPr>
          <w:p w14:paraId="1D74DCE5" w14:textId="15D3C081" w:rsidR="007C61DF" w:rsidRPr="002E540F" w:rsidRDefault="006F2957">
            <w:pPr>
              <w:rPr>
                <w:noProof/>
                <w:lang w:eastAsia="es-CO"/>
              </w:rPr>
            </w:pPr>
            <w:r>
              <w:rPr>
                <w:noProof/>
                <w:lang w:eastAsia="es-CO"/>
              </w:rPr>
              <w:t xml:space="preserve">Símbolo </w:t>
            </w:r>
          </w:p>
        </w:tc>
      </w:tr>
      <w:tr w:rsidR="007449A5" w14:paraId="19B2C062" w14:textId="77777777" w:rsidTr="00555355">
        <w:trPr>
          <w:jc w:val="center"/>
        </w:trPr>
        <w:tc>
          <w:tcPr>
            <w:tcW w:w="3023" w:type="dxa"/>
            <w:tcBorders>
              <w:left w:val="single" w:sz="4" w:space="0" w:color="auto"/>
              <w:right w:val="single" w:sz="4" w:space="0" w:color="auto"/>
            </w:tcBorders>
          </w:tcPr>
          <w:p w14:paraId="59B60762" w14:textId="77777777" w:rsidR="007449A5" w:rsidRDefault="007449A5" w:rsidP="00912A14">
            <w:pPr>
              <w:jc w:val="left"/>
              <w:rPr>
                <w:noProof/>
                <w:lang w:eastAsia="es-CO"/>
              </w:rPr>
            </w:pPr>
            <w:r>
              <w:rPr>
                <w:noProof/>
                <w:lang w:eastAsia="es-CO"/>
              </w:rPr>
              <w:t>Calor cedido a distrito calefacción (kJ/kg)</w:t>
            </w:r>
          </w:p>
        </w:tc>
        <w:tc>
          <w:tcPr>
            <w:tcW w:w="1367" w:type="dxa"/>
            <w:tcBorders>
              <w:left w:val="single" w:sz="4" w:space="0" w:color="auto"/>
              <w:right w:val="single" w:sz="4" w:space="0" w:color="auto"/>
            </w:tcBorders>
            <w:shd w:val="clear" w:color="auto" w:fill="auto"/>
          </w:tcPr>
          <w:p w14:paraId="3746297F" w14:textId="77777777" w:rsidR="007449A5" w:rsidRPr="000775B7" w:rsidRDefault="007449A5" w:rsidP="00912A14">
            <w:pPr>
              <w:rPr>
                <w:noProof/>
                <w:highlight w:val="red"/>
                <w:lang w:eastAsia="es-CO"/>
              </w:rPr>
            </w:pPr>
            <w:r w:rsidRPr="00555355">
              <w:rPr>
                <w:noProof/>
                <w:lang w:eastAsia="es-CO"/>
              </w:rPr>
              <w:t>Q</w:t>
            </w:r>
            <w:r w:rsidRPr="00555355">
              <w:rPr>
                <w:noProof/>
                <w:vertAlign w:val="subscript"/>
                <w:lang w:eastAsia="es-CO"/>
              </w:rPr>
              <w:t>LDH</w:t>
            </w:r>
          </w:p>
        </w:tc>
      </w:tr>
      <w:tr w:rsidR="007449A5" w14:paraId="17F0DCB8" w14:textId="77777777" w:rsidTr="00D90B62">
        <w:trPr>
          <w:jc w:val="center"/>
        </w:trPr>
        <w:tc>
          <w:tcPr>
            <w:tcW w:w="3023" w:type="dxa"/>
            <w:tcBorders>
              <w:left w:val="single" w:sz="4" w:space="0" w:color="auto"/>
              <w:right w:val="single" w:sz="4" w:space="0" w:color="auto"/>
            </w:tcBorders>
          </w:tcPr>
          <w:p w14:paraId="798B41DF" w14:textId="77777777" w:rsidR="007449A5" w:rsidRDefault="007449A5" w:rsidP="00912A14">
            <w:pPr>
              <w:jc w:val="left"/>
              <w:rPr>
                <w:noProof/>
                <w:lang w:eastAsia="es-CO"/>
              </w:rPr>
            </w:pPr>
            <w:r>
              <w:rPr>
                <w:noProof/>
                <w:lang w:eastAsia="es-CO"/>
              </w:rPr>
              <w:t>Calor cedido por el ciclo (kJ/kg)</w:t>
            </w:r>
          </w:p>
        </w:tc>
        <w:tc>
          <w:tcPr>
            <w:tcW w:w="1367" w:type="dxa"/>
            <w:tcBorders>
              <w:left w:val="single" w:sz="4" w:space="0" w:color="auto"/>
              <w:right w:val="single" w:sz="4" w:space="0" w:color="auto"/>
            </w:tcBorders>
          </w:tcPr>
          <w:p w14:paraId="6E6AF2C8" w14:textId="77777777" w:rsidR="007449A5" w:rsidRDefault="007449A5" w:rsidP="00912A14">
            <w:pPr>
              <w:rPr>
                <w:noProof/>
                <w:lang w:eastAsia="es-CO"/>
              </w:rPr>
            </w:pPr>
            <w:r>
              <w:rPr>
                <w:noProof/>
                <w:lang w:eastAsia="es-CO"/>
              </w:rPr>
              <w:t>Q</w:t>
            </w:r>
            <w:r w:rsidRPr="007A2DEF">
              <w:rPr>
                <w:noProof/>
                <w:vertAlign w:val="subscript"/>
                <w:lang w:eastAsia="es-CO"/>
              </w:rPr>
              <w:t>L</w:t>
            </w:r>
          </w:p>
        </w:tc>
      </w:tr>
      <w:tr w:rsidR="00D90B62" w14:paraId="64E31877" w14:textId="77777777" w:rsidTr="00D90B62">
        <w:trPr>
          <w:jc w:val="center"/>
        </w:trPr>
        <w:tc>
          <w:tcPr>
            <w:tcW w:w="3023" w:type="dxa"/>
            <w:tcBorders>
              <w:left w:val="single" w:sz="4" w:space="0" w:color="auto"/>
              <w:right w:val="single" w:sz="4" w:space="0" w:color="auto"/>
            </w:tcBorders>
          </w:tcPr>
          <w:p w14:paraId="630DF7BA" w14:textId="009E449C" w:rsidR="00D90B62" w:rsidRDefault="00D90B62" w:rsidP="00D90B62">
            <w:pPr>
              <w:jc w:val="left"/>
              <w:rPr>
                <w:noProof/>
                <w:lang w:eastAsia="es-CO"/>
              </w:rPr>
            </w:pPr>
            <w:r>
              <w:rPr>
                <w:noProof/>
                <w:lang w:eastAsia="es-CO"/>
              </w:rPr>
              <w:t>Calor de combustión (kJ/kg)</w:t>
            </w:r>
          </w:p>
        </w:tc>
        <w:tc>
          <w:tcPr>
            <w:tcW w:w="1367" w:type="dxa"/>
            <w:tcBorders>
              <w:left w:val="single" w:sz="4" w:space="0" w:color="auto"/>
              <w:right w:val="single" w:sz="4" w:space="0" w:color="auto"/>
            </w:tcBorders>
          </w:tcPr>
          <w:p w14:paraId="29E58319" w14:textId="52BAD27D" w:rsidR="00D90B62" w:rsidRDefault="00D90B62" w:rsidP="00D90B62">
            <w:pPr>
              <w:rPr>
                <w:noProof/>
                <w:lang w:eastAsia="es-CO"/>
              </w:rPr>
            </w:pPr>
            <w:r>
              <w:rPr>
                <w:noProof/>
                <w:lang w:eastAsia="es-CO"/>
              </w:rPr>
              <w:t>Q</w:t>
            </w:r>
            <w:r w:rsidRPr="006A2EFD">
              <w:rPr>
                <w:noProof/>
                <w:vertAlign w:val="subscript"/>
                <w:lang w:eastAsia="es-CO"/>
              </w:rPr>
              <w:t>Hinc</w:t>
            </w:r>
          </w:p>
        </w:tc>
      </w:tr>
      <w:tr w:rsidR="00D90B62" w14:paraId="39720045" w14:textId="77777777" w:rsidTr="00D90B62">
        <w:trPr>
          <w:jc w:val="center"/>
        </w:trPr>
        <w:tc>
          <w:tcPr>
            <w:tcW w:w="3023" w:type="dxa"/>
            <w:tcBorders>
              <w:left w:val="single" w:sz="4" w:space="0" w:color="auto"/>
              <w:right w:val="single" w:sz="4" w:space="0" w:color="auto"/>
            </w:tcBorders>
          </w:tcPr>
          <w:p w14:paraId="5A718246" w14:textId="10D745E0" w:rsidR="00D90B62" w:rsidRDefault="00D90B62" w:rsidP="00D90B62">
            <w:pPr>
              <w:jc w:val="left"/>
              <w:rPr>
                <w:noProof/>
                <w:lang w:eastAsia="es-CO"/>
              </w:rPr>
            </w:pPr>
            <w:r>
              <w:rPr>
                <w:noProof/>
                <w:lang w:eastAsia="es-CO"/>
              </w:rPr>
              <w:t>Calor de recalentamiento (kJ/kg)</w:t>
            </w:r>
          </w:p>
        </w:tc>
        <w:tc>
          <w:tcPr>
            <w:tcW w:w="1367" w:type="dxa"/>
            <w:tcBorders>
              <w:left w:val="single" w:sz="4" w:space="0" w:color="auto"/>
              <w:right w:val="single" w:sz="4" w:space="0" w:color="auto"/>
            </w:tcBorders>
          </w:tcPr>
          <w:p w14:paraId="4F9F9DB5" w14:textId="2DA0551A" w:rsidR="00D90B62" w:rsidRDefault="00D90B62" w:rsidP="00D90B62">
            <w:pPr>
              <w:rPr>
                <w:noProof/>
                <w:lang w:eastAsia="es-CO"/>
              </w:rPr>
            </w:pPr>
            <w:r>
              <w:rPr>
                <w:noProof/>
                <w:lang w:eastAsia="es-CO"/>
              </w:rPr>
              <w:t>Q</w:t>
            </w:r>
            <w:r w:rsidRPr="006751B1">
              <w:rPr>
                <w:noProof/>
                <w:vertAlign w:val="subscript"/>
                <w:lang w:eastAsia="es-CO"/>
              </w:rPr>
              <w:t>Hrec</w:t>
            </w:r>
          </w:p>
        </w:tc>
      </w:tr>
      <w:tr w:rsidR="004438AD" w14:paraId="2F7C9E0E" w14:textId="77777777" w:rsidTr="00D90B62">
        <w:trPr>
          <w:jc w:val="center"/>
        </w:trPr>
        <w:tc>
          <w:tcPr>
            <w:tcW w:w="3023" w:type="dxa"/>
            <w:tcBorders>
              <w:left w:val="single" w:sz="4" w:space="0" w:color="auto"/>
              <w:right w:val="single" w:sz="4" w:space="0" w:color="auto"/>
            </w:tcBorders>
          </w:tcPr>
          <w:p w14:paraId="67D6A3E9" w14:textId="2A30B25C" w:rsidR="004438AD" w:rsidRDefault="004438AD" w:rsidP="004438AD">
            <w:pPr>
              <w:jc w:val="left"/>
              <w:rPr>
                <w:noProof/>
                <w:lang w:eastAsia="es-CO"/>
              </w:rPr>
            </w:pPr>
            <w:r>
              <w:rPr>
                <w:noProof/>
                <w:lang w:eastAsia="es-CO"/>
              </w:rPr>
              <w:t>Entalpías específicas por estado (kJ/kg)</w:t>
            </w:r>
          </w:p>
        </w:tc>
        <w:tc>
          <w:tcPr>
            <w:tcW w:w="1367" w:type="dxa"/>
            <w:tcBorders>
              <w:left w:val="single" w:sz="4" w:space="0" w:color="auto"/>
              <w:right w:val="single" w:sz="4" w:space="0" w:color="auto"/>
            </w:tcBorders>
          </w:tcPr>
          <w:p w14:paraId="305B0932" w14:textId="293735BC" w:rsidR="004438AD" w:rsidRDefault="004438AD" w:rsidP="004438AD">
            <w:pPr>
              <w:rPr>
                <w:noProof/>
                <w:lang w:eastAsia="es-CO"/>
              </w:rPr>
            </w:pPr>
            <w:r>
              <w:rPr>
                <w:noProof/>
                <w:lang w:eastAsia="es-CO"/>
              </w:rPr>
              <w:t>h</w:t>
            </w:r>
            <w:r w:rsidRPr="00AD3BAF">
              <w:rPr>
                <w:noProof/>
                <w:vertAlign w:val="subscript"/>
                <w:lang w:eastAsia="es-CO"/>
              </w:rPr>
              <w:t>1</w:t>
            </w:r>
            <w:r>
              <w:rPr>
                <w:noProof/>
                <w:vertAlign w:val="subscript"/>
                <w:lang w:eastAsia="es-CO"/>
              </w:rPr>
              <w:t xml:space="preserve"> </w:t>
            </w:r>
            <w:r>
              <w:rPr>
                <w:noProof/>
                <w:lang w:eastAsia="es-CO"/>
              </w:rPr>
              <w:t>a h</w:t>
            </w:r>
            <w:r w:rsidRPr="00AD3BAF">
              <w:rPr>
                <w:noProof/>
                <w:vertAlign w:val="subscript"/>
                <w:lang w:eastAsia="es-CO"/>
              </w:rPr>
              <w:t>10</w:t>
            </w:r>
            <w:r>
              <w:rPr>
                <w:noProof/>
                <w:lang w:eastAsia="es-CO"/>
              </w:rPr>
              <w:t xml:space="preserve"> </w:t>
            </w:r>
          </w:p>
        </w:tc>
      </w:tr>
      <w:tr w:rsidR="004438AD" w14:paraId="444BB39F" w14:textId="77777777" w:rsidTr="00D90B62">
        <w:trPr>
          <w:jc w:val="center"/>
        </w:trPr>
        <w:tc>
          <w:tcPr>
            <w:tcW w:w="3023" w:type="dxa"/>
            <w:tcBorders>
              <w:left w:val="single" w:sz="4" w:space="0" w:color="auto"/>
              <w:right w:val="single" w:sz="4" w:space="0" w:color="auto"/>
            </w:tcBorders>
          </w:tcPr>
          <w:p w14:paraId="40447775" w14:textId="46153D9F" w:rsidR="004438AD" w:rsidRDefault="004438AD" w:rsidP="004438AD">
            <w:pPr>
              <w:jc w:val="left"/>
              <w:rPr>
                <w:noProof/>
                <w:lang w:eastAsia="es-CO"/>
              </w:rPr>
            </w:pPr>
            <w:r>
              <w:rPr>
                <w:noProof/>
                <w:lang w:eastAsia="es-CO"/>
              </w:rPr>
              <w:t>Entalpías específicas reales (kJ/kg)</w:t>
            </w:r>
          </w:p>
        </w:tc>
        <w:tc>
          <w:tcPr>
            <w:tcW w:w="1367" w:type="dxa"/>
            <w:tcBorders>
              <w:left w:val="single" w:sz="4" w:space="0" w:color="auto"/>
              <w:right w:val="single" w:sz="4" w:space="0" w:color="auto"/>
            </w:tcBorders>
          </w:tcPr>
          <w:p w14:paraId="1DA7AAAF" w14:textId="37E9CBD0" w:rsidR="004438AD" w:rsidRDefault="004438AD" w:rsidP="004438AD">
            <w:pPr>
              <w:rPr>
                <w:noProof/>
                <w:lang w:eastAsia="es-CO"/>
              </w:rPr>
            </w:pPr>
            <w:r>
              <w:rPr>
                <w:noProof/>
                <w:lang w:eastAsia="es-CO"/>
              </w:rPr>
              <w:t>h</w:t>
            </w:r>
            <w:r>
              <w:rPr>
                <w:noProof/>
                <w:vertAlign w:val="subscript"/>
                <w:lang w:eastAsia="es-CO"/>
              </w:rPr>
              <w:t>2r</w:t>
            </w:r>
            <w:r>
              <w:t>, h</w:t>
            </w:r>
            <w:r w:rsidRPr="00B129D2">
              <w:rPr>
                <w:vertAlign w:val="subscript"/>
              </w:rPr>
              <w:t>4r</w:t>
            </w:r>
            <w:r>
              <w:t>, h</w:t>
            </w:r>
            <w:r w:rsidRPr="00B129D2">
              <w:rPr>
                <w:vertAlign w:val="subscript"/>
              </w:rPr>
              <w:t>7r</w:t>
            </w:r>
          </w:p>
        </w:tc>
      </w:tr>
      <w:tr w:rsidR="00341C59" w14:paraId="424F1271" w14:textId="77777777" w:rsidTr="00D90B62">
        <w:trPr>
          <w:jc w:val="center"/>
        </w:trPr>
        <w:tc>
          <w:tcPr>
            <w:tcW w:w="3023" w:type="dxa"/>
            <w:tcBorders>
              <w:left w:val="single" w:sz="4" w:space="0" w:color="auto"/>
              <w:right w:val="single" w:sz="4" w:space="0" w:color="auto"/>
            </w:tcBorders>
          </w:tcPr>
          <w:p w14:paraId="310C185D" w14:textId="539B625E" w:rsidR="00341C59" w:rsidRDefault="00341C59" w:rsidP="00341C59">
            <w:pPr>
              <w:jc w:val="left"/>
              <w:rPr>
                <w:noProof/>
                <w:lang w:eastAsia="es-CO"/>
              </w:rPr>
            </w:pPr>
            <w:r>
              <w:rPr>
                <w:noProof/>
                <w:lang w:eastAsia="es-CO"/>
              </w:rPr>
              <w:t>Presión máxima del ciclo (P</w:t>
            </w:r>
            <w:r w:rsidRPr="00A8221C">
              <w:rPr>
                <w:noProof/>
                <w:vertAlign w:val="subscript"/>
                <w:lang w:eastAsia="es-CO"/>
              </w:rPr>
              <w:t>max</w:t>
            </w:r>
            <w:r>
              <w:rPr>
                <w:noProof/>
                <w:lang w:eastAsia="es-CO"/>
              </w:rPr>
              <w:t>)</w:t>
            </w:r>
          </w:p>
        </w:tc>
        <w:tc>
          <w:tcPr>
            <w:tcW w:w="1367" w:type="dxa"/>
            <w:tcBorders>
              <w:left w:val="single" w:sz="4" w:space="0" w:color="auto"/>
              <w:right w:val="single" w:sz="4" w:space="0" w:color="auto"/>
            </w:tcBorders>
          </w:tcPr>
          <w:p w14:paraId="380F6980" w14:textId="0B19954E" w:rsidR="00341C59" w:rsidRDefault="00341C59" w:rsidP="00341C59">
            <w:pPr>
              <w:rPr>
                <w:noProof/>
                <w:lang w:eastAsia="es-CO"/>
              </w:rPr>
            </w:pPr>
            <w:r>
              <w:rPr>
                <w:noProof/>
                <w:lang w:eastAsia="es-CO"/>
              </w:rPr>
              <w:t>P</w:t>
            </w:r>
            <w:r w:rsidRPr="00A8221C">
              <w:rPr>
                <w:noProof/>
                <w:vertAlign w:val="subscript"/>
                <w:lang w:eastAsia="es-CO"/>
              </w:rPr>
              <w:t>2</w:t>
            </w:r>
            <w:r>
              <w:t>, P</w:t>
            </w:r>
            <w:r w:rsidRPr="00CE2FF0">
              <w:rPr>
                <w:vertAlign w:val="subscript"/>
              </w:rPr>
              <w:t>3</w:t>
            </w:r>
          </w:p>
        </w:tc>
      </w:tr>
      <w:tr w:rsidR="00341C59" w14:paraId="70EC0129" w14:textId="77777777" w:rsidTr="00D90B62">
        <w:trPr>
          <w:jc w:val="center"/>
        </w:trPr>
        <w:tc>
          <w:tcPr>
            <w:tcW w:w="3023" w:type="dxa"/>
            <w:tcBorders>
              <w:left w:val="single" w:sz="4" w:space="0" w:color="auto"/>
              <w:right w:val="single" w:sz="4" w:space="0" w:color="auto"/>
            </w:tcBorders>
          </w:tcPr>
          <w:p w14:paraId="22DCF489" w14:textId="7F45B823" w:rsidR="00341C59" w:rsidRDefault="00341C59" w:rsidP="00341C59">
            <w:pPr>
              <w:jc w:val="left"/>
              <w:rPr>
                <w:noProof/>
                <w:lang w:eastAsia="es-CO"/>
              </w:rPr>
            </w:pPr>
            <w:r>
              <w:rPr>
                <w:noProof/>
                <w:lang w:eastAsia="es-CO"/>
              </w:rPr>
              <w:t>Presión intermedia del ciclo (P</w:t>
            </w:r>
            <w:r w:rsidRPr="007E23E7">
              <w:rPr>
                <w:noProof/>
                <w:vertAlign w:val="subscript"/>
                <w:lang w:eastAsia="es-CO"/>
              </w:rPr>
              <w:t>int</w:t>
            </w:r>
            <w:r>
              <w:rPr>
                <w:noProof/>
                <w:lang w:eastAsia="es-CO"/>
              </w:rPr>
              <w:t>)</w:t>
            </w:r>
          </w:p>
        </w:tc>
        <w:tc>
          <w:tcPr>
            <w:tcW w:w="1367" w:type="dxa"/>
            <w:tcBorders>
              <w:left w:val="single" w:sz="4" w:space="0" w:color="auto"/>
              <w:right w:val="single" w:sz="4" w:space="0" w:color="auto"/>
            </w:tcBorders>
          </w:tcPr>
          <w:p w14:paraId="119DE1CC" w14:textId="33ABAC67" w:rsidR="00341C59" w:rsidRDefault="00341C59" w:rsidP="00341C59">
            <w:pPr>
              <w:rPr>
                <w:noProof/>
                <w:lang w:eastAsia="es-CO"/>
              </w:rPr>
            </w:pPr>
            <w:r>
              <w:rPr>
                <w:noProof/>
                <w:lang w:eastAsia="es-CO"/>
              </w:rPr>
              <w:t>P</w:t>
            </w:r>
            <w:r w:rsidRPr="00884119">
              <w:rPr>
                <w:noProof/>
                <w:vertAlign w:val="subscript"/>
                <w:lang w:eastAsia="es-CO"/>
              </w:rPr>
              <w:t>1</w:t>
            </w:r>
            <w:r>
              <w:rPr>
                <w:noProof/>
                <w:lang w:eastAsia="es-CO"/>
              </w:rPr>
              <w:t>, P</w:t>
            </w:r>
            <w:r w:rsidRPr="00972636">
              <w:rPr>
                <w:noProof/>
                <w:vertAlign w:val="subscript"/>
                <w:lang w:eastAsia="es-CO"/>
              </w:rPr>
              <w:t>4</w:t>
            </w:r>
            <w:r>
              <w:rPr>
                <w:noProof/>
                <w:lang w:eastAsia="es-CO"/>
              </w:rPr>
              <w:t>, P</w:t>
            </w:r>
            <w:r w:rsidRPr="00972636">
              <w:rPr>
                <w:noProof/>
                <w:vertAlign w:val="subscript"/>
                <w:lang w:eastAsia="es-CO"/>
              </w:rPr>
              <w:t>6</w:t>
            </w:r>
            <w:r>
              <w:rPr>
                <w:noProof/>
                <w:lang w:eastAsia="es-CO"/>
              </w:rPr>
              <w:t>, P</w:t>
            </w:r>
            <w:r w:rsidRPr="00972636">
              <w:rPr>
                <w:noProof/>
                <w:vertAlign w:val="subscript"/>
                <w:lang w:eastAsia="es-CO"/>
              </w:rPr>
              <w:t>9</w:t>
            </w:r>
            <w:r>
              <w:rPr>
                <w:noProof/>
                <w:lang w:eastAsia="es-CO"/>
              </w:rPr>
              <w:t>, P</w:t>
            </w:r>
            <w:r w:rsidRPr="00972636">
              <w:rPr>
                <w:noProof/>
                <w:vertAlign w:val="subscript"/>
                <w:lang w:eastAsia="es-CO"/>
              </w:rPr>
              <w:t>10</w:t>
            </w:r>
          </w:p>
        </w:tc>
      </w:tr>
      <w:tr w:rsidR="00341C59" w14:paraId="233BD2EB" w14:textId="77777777" w:rsidTr="00D90B62">
        <w:trPr>
          <w:jc w:val="center"/>
        </w:trPr>
        <w:tc>
          <w:tcPr>
            <w:tcW w:w="3023" w:type="dxa"/>
            <w:tcBorders>
              <w:left w:val="single" w:sz="4" w:space="0" w:color="auto"/>
              <w:right w:val="single" w:sz="4" w:space="0" w:color="auto"/>
            </w:tcBorders>
          </w:tcPr>
          <w:p w14:paraId="4FD59DA8" w14:textId="08E64A2F" w:rsidR="00341C59" w:rsidRDefault="00341C59" w:rsidP="00341C59">
            <w:pPr>
              <w:jc w:val="left"/>
              <w:rPr>
                <w:noProof/>
                <w:lang w:eastAsia="es-CO"/>
              </w:rPr>
            </w:pPr>
            <w:r>
              <w:rPr>
                <w:noProof/>
                <w:lang w:eastAsia="es-CO"/>
              </w:rPr>
              <w:t>Presión mínima del ciclo (P</w:t>
            </w:r>
            <w:r w:rsidRPr="007E23E7">
              <w:rPr>
                <w:noProof/>
                <w:vertAlign w:val="subscript"/>
                <w:lang w:eastAsia="es-CO"/>
              </w:rPr>
              <w:t>min</w:t>
            </w:r>
            <w:r>
              <w:rPr>
                <w:noProof/>
                <w:lang w:eastAsia="es-CO"/>
              </w:rPr>
              <w:t>)</w:t>
            </w:r>
          </w:p>
        </w:tc>
        <w:tc>
          <w:tcPr>
            <w:tcW w:w="1367" w:type="dxa"/>
            <w:tcBorders>
              <w:left w:val="single" w:sz="4" w:space="0" w:color="auto"/>
              <w:right w:val="single" w:sz="4" w:space="0" w:color="auto"/>
            </w:tcBorders>
          </w:tcPr>
          <w:p w14:paraId="510E0DFF" w14:textId="05B89EFB" w:rsidR="00341C59" w:rsidRDefault="00341C59" w:rsidP="00341C59">
            <w:pPr>
              <w:rPr>
                <w:noProof/>
                <w:lang w:eastAsia="es-CO"/>
              </w:rPr>
            </w:pPr>
            <w:r>
              <w:rPr>
                <w:noProof/>
                <w:lang w:eastAsia="es-CO"/>
              </w:rPr>
              <w:t>P</w:t>
            </w:r>
            <w:r w:rsidRPr="00972636">
              <w:rPr>
                <w:noProof/>
                <w:vertAlign w:val="subscript"/>
                <w:lang w:eastAsia="es-CO"/>
              </w:rPr>
              <w:t>7</w:t>
            </w:r>
            <w:r>
              <w:rPr>
                <w:noProof/>
                <w:lang w:eastAsia="es-CO"/>
              </w:rPr>
              <w:t>, P</w:t>
            </w:r>
            <w:r w:rsidRPr="00972636">
              <w:rPr>
                <w:noProof/>
                <w:vertAlign w:val="subscript"/>
                <w:lang w:eastAsia="es-CO"/>
              </w:rPr>
              <w:t>8</w:t>
            </w:r>
          </w:p>
        </w:tc>
      </w:tr>
      <w:tr w:rsidR="00C939DA" w14:paraId="66650706" w14:textId="77777777" w:rsidTr="00D90B62">
        <w:trPr>
          <w:jc w:val="center"/>
        </w:trPr>
        <w:tc>
          <w:tcPr>
            <w:tcW w:w="3023" w:type="dxa"/>
            <w:tcBorders>
              <w:left w:val="single" w:sz="4" w:space="0" w:color="auto"/>
              <w:right w:val="single" w:sz="4" w:space="0" w:color="auto"/>
            </w:tcBorders>
          </w:tcPr>
          <w:p w14:paraId="615C1714" w14:textId="70B9FE40" w:rsidR="00C939DA" w:rsidRDefault="00C939DA" w:rsidP="00C939DA">
            <w:pPr>
              <w:jc w:val="left"/>
              <w:rPr>
                <w:noProof/>
                <w:lang w:eastAsia="es-CO"/>
              </w:rPr>
            </w:pPr>
            <w:r>
              <w:rPr>
                <w:noProof/>
                <w:lang w:eastAsia="es-CO"/>
              </w:rPr>
              <w:t>Volumen específico agua (m</w:t>
            </w:r>
            <w:r w:rsidRPr="00346B4A">
              <w:rPr>
                <w:noProof/>
                <w:vertAlign w:val="superscript"/>
                <w:lang w:eastAsia="es-CO"/>
              </w:rPr>
              <w:t>3</w:t>
            </w:r>
            <w:r>
              <w:rPr>
                <w:noProof/>
                <w:lang w:eastAsia="es-CO"/>
              </w:rPr>
              <w:t>/kg)</w:t>
            </w:r>
          </w:p>
        </w:tc>
        <w:tc>
          <w:tcPr>
            <w:tcW w:w="1367" w:type="dxa"/>
            <w:tcBorders>
              <w:left w:val="single" w:sz="4" w:space="0" w:color="auto"/>
              <w:right w:val="single" w:sz="4" w:space="0" w:color="auto"/>
            </w:tcBorders>
          </w:tcPr>
          <w:p w14:paraId="24EE55F9" w14:textId="2A5BBE82" w:rsidR="00C939DA" w:rsidRDefault="00C939DA" w:rsidP="00C939DA">
            <w:pPr>
              <w:rPr>
                <w:noProof/>
                <w:lang w:eastAsia="es-CO"/>
              </w:rPr>
            </w:pPr>
            <w:r>
              <w:rPr>
                <w:noProof/>
                <w:lang w:eastAsia="es-CO"/>
              </w:rPr>
              <w:t>v</w:t>
            </w:r>
            <w:r w:rsidRPr="00B11261">
              <w:rPr>
                <w:vertAlign w:val="subscript"/>
                <w:lang w:eastAsia="es-CO"/>
              </w:rPr>
              <w:t>f</w:t>
            </w:r>
            <w:r w:rsidRPr="006E53F5">
              <w:rPr>
                <w:noProof/>
                <w:vertAlign w:val="subscript"/>
                <w:lang w:eastAsia="es-CO"/>
              </w:rPr>
              <w:t>1</w:t>
            </w:r>
            <w:r>
              <w:rPr>
                <w:noProof/>
                <w:lang w:eastAsia="es-CO"/>
              </w:rPr>
              <w:t>, v</w:t>
            </w:r>
            <w:r w:rsidRPr="00B11261">
              <w:rPr>
                <w:vertAlign w:val="subscript"/>
                <w:lang w:eastAsia="es-CO"/>
              </w:rPr>
              <w:t>f</w:t>
            </w:r>
            <w:r w:rsidRPr="006E53F5">
              <w:rPr>
                <w:noProof/>
                <w:vertAlign w:val="subscript"/>
                <w:lang w:eastAsia="es-CO"/>
              </w:rPr>
              <w:t>8</w:t>
            </w:r>
          </w:p>
        </w:tc>
      </w:tr>
      <w:tr w:rsidR="00723263" w14:paraId="0AA1D6FD" w14:textId="77777777" w:rsidTr="00D90B62">
        <w:trPr>
          <w:jc w:val="center"/>
        </w:trPr>
        <w:tc>
          <w:tcPr>
            <w:tcW w:w="3023" w:type="dxa"/>
            <w:tcBorders>
              <w:left w:val="single" w:sz="4" w:space="0" w:color="auto"/>
              <w:right w:val="single" w:sz="4" w:space="0" w:color="auto"/>
            </w:tcBorders>
          </w:tcPr>
          <w:p w14:paraId="50EA2C9A" w14:textId="73DB8A9A" w:rsidR="00723263" w:rsidRDefault="00723263" w:rsidP="00723263">
            <w:pPr>
              <w:jc w:val="left"/>
              <w:rPr>
                <w:noProof/>
                <w:lang w:eastAsia="es-CO"/>
              </w:rPr>
            </w:pPr>
            <w:r>
              <w:rPr>
                <w:noProof/>
                <w:lang w:eastAsia="es-CO"/>
              </w:rPr>
              <w:t>Trabajo neto ciclo (kJ/kg)</w:t>
            </w:r>
          </w:p>
        </w:tc>
        <w:tc>
          <w:tcPr>
            <w:tcW w:w="1367" w:type="dxa"/>
            <w:tcBorders>
              <w:left w:val="single" w:sz="4" w:space="0" w:color="auto"/>
              <w:right w:val="single" w:sz="4" w:space="0" w:color="auto"/>
            </w:tcBorders>
          </w:tcPr>
          <w:p w14:paraId="42BDE909" w14:textId="48611DCC" w:rsidR="00723263" w:rsidRDefault="00723263" w:rsidP="00723263">
            <w:pPr>
              <w:rPr>
                <w:noProof/>
                <w:lang w:eastAsia="es-CO"/>
              </w:rPr>
            </w:pPr>
            <w:r>
              <w:rPr>
                <w:noProof/>
                <w:lang w:eastAsia="es-CO"/>
              </w:rPr>
              <w:t>W</w:t>
            </w:r>
            <w:r w:rsidRPr="007746E3">
              <w:rPr>
                <w:noProof/>
                <w:vertAlign w:val="subscript"/>
                <w:lang w:eastAsia="es-CO"/>
              </w:rPr>
              <w:t>neto</w:t>
            </w:r>
          </w:p>
        </w:tc>
      </w:tr>
      <w:tr w:rsidR="00723263" w14:paraId="72F9653A" w14:textId="77777777" w:rsidTr="00D90B62">
        <w:trPr>
          <w:jc w:val="center"/>
        </w:trPr>
        <w:tc>
          <w:tcPr>
            <w:tcW w:w="3023" w:type="dxa"/>
            <w:tcBorders>
              <w:left w:val="single" w:sz="4" w:space="0" w:color="auto"/>
              <w:right w:val="single" w:sz="4" w:space="0" w:color="auto"/>
            </w:tcBorders>
          </w:tcPr>
          <w:p w14:paraId="5BE3343F" w14:textId="50C0EBA8" w:rsidR="00723263" w:rsidRDefault="00723263" w:rsidP="00723263">
            <w:pPr>
              <w:jc w:val="left"/>
              <w:rPr>
                <w:noProof/>
                <w:lang w:eastAsia="es-CO"/>
              </w:rPr>
            </w:pPr>
            <w:r>
              <w:rPr>
                <w:noProof/>
                <w:lang w:eastAsia="es-CO"/>
              </w:rPr>
              <w:t>Trabajo real bombas (kJ/kg)</w:t>
            </w:r>
          </w:p>
        </w:tc>
        <w:tc>
          <w:tcPr>
            <w:tcW w:w="1367" w:type="dxa"/>
            <w:tcBorders>
              <w:left w:val="single" w:sz="4" w:space="0" w:color="auto"/>
              <w:right w:val="single" w:sz="4" w:space="0" w:color="auto"/>
            </w:tcBorders>
          </w:tcPr>
          <w:p w14:paraId="3658426F" w14:textId="141D6FFD" w:rsidR="00723263" w:rsidRDefault="00723263" w:rsidP="00723263">
            <w:pPr>
              <w:rPr>
                <w:noProof/>
                <w:lang w:eastAsia="es-CO"/>
              </w:rPr>
            </w:pPr>
            <w:r>
              <w:rPr>
                <w:noProof/>
                <w:lang w:eastAsia="es-CO"/>
              </w:rPr>
              <w:t>W</w:t>
            </w:r>
            <w:r w:rsidRPr="002F0F7D">
              <w:rPr>
                <w:noProof/>
                <w:vertAlign w:val="subscript"/>
                <w:lang w:eastAsia="es-CO"/>
              </w:rPr>
              <w:t>Pr1</w:t>
            </w:r>
            <w:r>
              <w:rPr>
                <w:noProof/>
                <w:lang w:eastAsia="es-CO"/>
              </w:rPr>
              <w:t>, W</w:t>
            </w:r>
            <w:r w:rsidRPr="002F0F7D">
              <w:rPr>
                <w:noProof/>
                <w:vertAlign w:val="subscript"/>
                <w:lang w:eastAsia="es-CO"/>
              </w:rPr>
              <w:t>Pr8</w:t>
            </w:r>
          </w:p>
        </w:tc>
      </w:tr>
      <w:tr w:rsidR="00723263" w14:paraId="2D7F5EFC" w14:textId="77777777" w:rsidTr="00D90B62">
        <w:trPr>
          <w:jc w:val="center"/>
        </w:trPr>
        <w:tc>
          <w:tcPr>
            <w:tcW w:w="3023" w:type="dxa"/>
            <w:tcBorders>
              <w:left w:val="single" w:sz="4" w:space="0" w:color="auto"/>
              <w:right w:val="single" w:sz="4" w:space="0" w:color="auto"/>
            </w:tcBorders>
          </w:tcPr>
          <w:p w14:paraId="39C7A142" w14:textId="485DFC39" w:rsidR="00723263" w:rsidRDefault="00723263" w:rsidP="00723263">
            <w:pPr>
              <w:jc w:val="left"/>
              <w:rPr>
                <w:noProof/>
                <w:lang w:eastAsia="es-CO"/>
              </w:rPr>
            </w:pPr>
            <w:r>
              <w:rPr>
                <w:noProof/>
                <w:lang w:eastAsia="es-CO"/>
              </w:rPr>
              <w:t>Trabajo real turbinas (kJ/kg)</w:t>
            </w:r>
          </w:p>
        </w:tc>
        <w:tc>
          <w:tcPr>
            <w:tcW w:w="1367" w:type="dxa"/>
            <w:tcBorders>
              <w:left w:val="single" w:sz="4" w:space="0" w:color="auto"/>
              <w:right w:val="single" w:sz="4" w:space="0" w:color="auto"/>
            </w:tcBorders>
          </w:tcPr>
          <w:p w14:paraId="3A8222D7" w14:textId="58A20334" w:rsidR="00723263" w:rsidRDefault="00723263" w:rsidP="00723263">
            <w:pPr>
              <w:rPr>
                <w:noProof/>
                <w:lang w:eastAsia="es-CO"/>
              </w:rPr>
            </w:pPr>
            <w:r>
              <w:rPr>
                <w:noProof/>
                <w:lang w:eastAsia="es-CO"/>
              </w:rPr>
              <w:t>W</w:t>
            </w:r>
            <w:r w:rsidRPr="00912A14">
              <w:rPr>
                <w:noProof/>
                <w:vertAlign w:val="subscript"/>
                <w:lang w:eastAsia="es-CO"/>
              </w:rPr>
              <w:t>TAPr</w:t>
            </w:r>
            <w:r>
              <w:t xml:space="preserve">, </w:t>
            </w:r>
            <w:r>
              <w:rPr>
                <w:noProof/>
                <w:lang w:eastAsia="es-CO"/>
              </w:rPr>
              <w:t>W</w:t>
            </w:r>
            <w:r w:rsidRPr="00912A14">
              <w:rPr>
                <w:noProof/>
                <w:vertAlign w:val="subscript"/>
                <w:lang w:eastAsia="es-CO"/>
              </w:rPr>
              <w:t>T</w:t>
            </w:r>
            <w:r>
              <w:rPr>
                <w:noProof/>
                <w:vertAlign w:val="subscript"/>
                <w:lang w:eastAsia="es-CO"/>
              </w:rPr>
              <w:t>B</w:t>
            </w:r>
            <w:r w:rsidRPr="00912A14">
              <w:rPr>
                <w:noProof/>
                <w:vertAlign w:val="subscript"/>
                <w:lang w:eastAsia="es-CO"/>
              </w:rPr>
              <w:t>Pr</w:t>
            </w:r>
          </w:p>
        </w:tc>
      </w:tr>
      <w:tr w:rsidR="000C13FB" w14:paraId="506CB2F7" w14:textId="77777777" w:rsidTr="00D90B62">
        <w:trPr>
          <w:jc w:val="center"/>
        </w:trPr>
        <w:tc>
          <w:tcPr>
            <w:tcW w:w="3023" w:type="dxa"/>
            <w:tcBorders>
              <w:left w:val="single" w:sz="4" w:space="0" w:color="auto"/>
              <w:right w:val="single" w:sz="4" w:space="0" w:color="auto"/>
            </w:tcBorders>
          </w:tcPr>
          <w:p w14:paraId="2B5D272F" w14:textId="0DC99F8D" w:rsidR="000C13FB" w:rsidRDefault="000C13FB" w:rsidP="000C13FB">
            <w:pPr>
              <w:jc w:val="left"/>
              <w:rPr>
                <w:noProof/>
                <w:lang w:eastAsia="es-CO"/>
              </w:rPr>
            </w:pPr>
            <w:r>
              <w:rPr>
                <w:noProof/>
                <w:lang w:eastAsia="es-CO"/>
              </w:rPr>
              <w:t>Proporción de vapor cedido a generación eléctrica</w:t>
            </w:r>
          </w:p>
        </w:tc>
        <w:tc>
          <w:tcPr>
            <w:tcW w:w="1367" w:type="dxa"/>
            <w:tcBorders>
              <w:left w:val="single" w:sz="4" w:space="0" w:color="auto"/>
              <w:right w:val="single" w:sz="4" w:space="0" w:color="auto"/>
            </w:tcBorders>
          </w:tcPr>
          <w:p w14:paraId="2FB5117D" w14:textId="0AFA935B" w:rsidR="000C13FB" w:rsidRDefault="000C13FB" w:rsidP="000C13FB">
            <w:pPr>
              <w:rPr>
                <w:noProof/>
                <w:lang w:eastAsia="es-CO"/>
              </w:rPr>
            </w:pPr>
            <w:r>
              <w:rPr>
                <w:noProof/>
                <w:lang w:eastAsia="es-CO"/>
              </w:rPr>
              <w:t xml:space="preserve">y </w:t>
            </w:r>
          </w:p>
        </w:tc>
      </w:tr>
      <w:tr w:rsidR="007449A5" w14:paraId="2A46432A" w14:textId="77777777" w:rsidTr="00D90B62">
        <w:trPr>
          <w:jc w:val="center"/>
        </w:trPr>
        <w:tc>
          <w:tcPr>
            <w:tcW w:w="3023" w:type="dxa"/>
            <w:tcBorders>
              <w:left w:val="single" w:sz="4" w:space="0" w:color="auto"/>
              <w:right w:val="single" w:sz="4" w:space="0" w:color="auto"/>
            </w:tcBorders>
          </w:tcPr>
          <w:p w14:paraId="0E502E47" w14:textId="6BAB2401" w:rsidR="007449A5" w:rsidRDefault="007449A5" w:rsidP="00912A14">
            <w:pPr>
              <w:jc w:val="left"/>
              <w:rPr>
                <w:noProof/>
                <w:lang w:eastAsia="es-CO"/>
              </w:rPr>
            </w:pPr>
            <w:r>
              <w:rPr>
                <w:noProof/>
                <w:lang w:eastAsia="es-CO"/>
              </w:rPr>
              <w:t>Eficiencia de la caldera</w:t>
            </w:r>
            <w:r w:rsidR="00D573FA">
              <w:rPr>
                <w:noProof/>
                <w:lang w:eastAsia="es-CO"/>
              </w:rPr>
              <w:t xml:space="preserve"> (</w:t>
            </w:r>
            <w:r w:rsidR="00DF1B77">
              <w:rPr>
                <w:noProof/>
                <w:lang w:eastAsia="es-CO"/>
              </w:rPr>
              <w:t>81%</w:t>
            </w:r>
            <w:r w:rsidR="00D573FA">
              <w:rPr>
                <w:noProof/>
                <w:lang w:eastAsia="es-CO"/>
              </w:rPr>
              <w:t>)</w:t>
            </w:r>
            <w:r w:rsidR="00411832" w:rsidRPr="00411832">
              <w:rPr>
                <w:noProof/>
                <w:vertAlign w:val="superscript"/>
                <w:lang w:eastAsia="es-CO"/>
              </w:rPr>
              <w:t>[31]</w:t>
            </w:r>
          </w:p>
        </w:tc>
        <w:tc>
          <w:tcPr>
            <w:tcW w:w="1367" w:type="dxa"/>
            <w:tcBorders>
              <w:left w:val="single" w:sz="4" w:space="0" w:color="auto"/>
              <w:right w:val="single" w:sz="4" w:space="0" w:color="auto"/>
            </w:tcBorders>
          </w:tcPr>
          <w:p w14:paraId="350C0C72" w14:textId="77777777" w:rsidR="007449A5" w:rsidRPr="00ED3369" w:rsidRDefault="007D63EF" w:rsidP="00BF32C2">
            <w:pPr>
              <w:jc w:val="left"/>
              <w:rPr>
                <w:rFonts w:eastAsia="Calibri" w:cs="Times New Roman"/>
                <w:iCs/>
              </w:rPr>
            </w:pPr>
            <m:oMathPara>
              <m:oMathParaPr>
                <m:jc m:val="left"/>
              </m:oMathParaPr>
              <m:oMath>
                <m:sSub>
                  <m:sSubPr>
                    <m:ctrlPr>
                      <w:rPr>
                        <w:rFonts w:ascii="Cambria Math" w:hAnsi="Cambria Math"/>
                        <w:iCs/>
                      </w:rPr>
                    </m:ctrlPr>
                  </m:sSubPr>
                  <m:e>
                    <m:r>
                      <m:rPr>
                        <m:sty m:val="p"/>
                      </m:rPr>
                      <w:rPr>
                        <w:rFonts w:ascii="Cambria Math" w:hAnsi="Cambria Math"/>
                      </w:rPr>
                      <m:t>η</m:t>
                    </m:r>
                  </m:e>
                  <m:sub>
                    <m:r>
                      <m:rPr>
                        <m:sty m:val="p"/>
                      </m:rPr>
                      <w:rPr>
                        <w:rFonts w:ascii="Cambria Math" w:hAnsi="Cambria Math"/>
                      </w:rPr>
                      <m:t>cal</m:t>
                    </m:r>
                  </m:sub>
                </m:sSub>
              </m:oMath>
            </m:oMathPara>
          </w:p>
        </w:tc>
      </w:tr>
      <w:tr w:rsidR="007449A5" w14:paraId="42B8A5F9" w14:textId="77777777" w:rsidTr="00D90B62">
        <w:trPr>
          <w:jc w:val="center"/>
        </w:trPr>
        <w:tc>
          <w:tcPr>
            <w:tcW w:w="3023" w:type="dxa"/>
            <w:tcBorders>
              <w:left w:val="single" w:sz="4" w:space="0" w:color="auto"/>
              <w:right w:val="single" w:sz="4" w:space="0" w:color="auto"/>
            </w:tcBorders>
          </w:tcPr>
          <w:p w14:paraId="648B5C40" w14:textId="4A47F152" w:rsidR="007449A5" w:rsidRDefault="007449A5" w:rsidP="009F4003">
            <w:pPr>
              <w:jc w:val="left"/>
              <w:rPr>
                <w:noProof/>
                <w:lang w:eastAsia="es-CO"/>
              </w:rPr>
            </w:pPr>
            <w:r>
              <w:rPr>
                <w:noProof/>
                <w:lang w:eastAsia="es-CO"/>
              </w:rPr>
              <w:t>Eficiencia isentrópica bombas y turbinas</w:t>
            </w:r>
            <w:r w:rsidR="005C69D3">
              <w:rPr>
                <w:noProof/>
                <w:lang w:eastAsia="es-CO"/>
              </w:rPr>
              <w:t xml:space="preserve"> (</w:t>
            </w:r>
            <w:r w:rsidR="007C1A14">
              <w:rPr>
                <w:noProof/>
                <w:lang w:eastAsia="es-CO"/>
              </w:rPr>
              <w:t>87%</w:t>
            </w:r>
            <w:r w:rsidR="005C69D3">
              <w:rPr>
                <w:noProof/>
                <w:lang w:eastAsia="es-CO"/>
              </w:rPr>
              <w:t>)</w:t>
            </w:r>
            <w:r w:rsidR="00F121FC">
              <w:rPr>
                <w:noProof/>
                <w:vertAlign w:val="superscript"/>
                <w:lang w:eastAsia="es-CO"/>
              </w:rPr>
              <w:t>[32]</w:t>
            </w:r>
          </w:p>
        </w:tc>
        <w:tc>
          <w:tcPr>
            <w:tcW w:w="1367" w:type="dxa"/>
            <w:tcBorders>
              <w:left w:val="single" w:sz="4" w:space="0" w:color="auto"/>
              <w:right w:val="single" w:sz="4" w:space="0" w:color="auto"/>
            </w:tcBorders>
          </w:tcPr>
          <w:p w14:paraId="515EF3B7" w14:textId="77777777" w:rsidR="007449A5" w:rsidRPr="00002091" w:rsidRDefault="007449A5">
            <w:pPr>
              <w:rPr>
                <w:rFonts w:cs="Times New Roman"/>
                <w:noProof/>
                <w:lang w:eastAsia="es-CO"/>
              </w:rPr>
            </w:pPr>
            <w:r w:rsidRPr="00002091">
              <w:rPr>
                <w:rFonts w:cs="Times New Roman"/>
                <w:noProof/>
                <w:lang w:eastAsia="es-CO"/>
              </w:rPr>
              <w:t>η</w:t>
            </w:r>
            <w:r w:rsidRPr="00002091">
              <w:rPr>
                <w:rFonts w:cs="Times New Roman"/>
                <w:noProof/>
                <w:vertAlign w:val="subscript"/>
                <w:lang w:eastAsia="es-CO"/>
              </w:rPr>
              <w:t>P</w:t>
            </w:r>
            <w:r>
              <w:rPr>
                <w:rFonts w:cs="Times New Roman"/>
                <w:noProof/>
                <w:lang w:eastAsia="es-CO"/>
              </w:rPr>
              <w:t xml:space="preserve">, </w:t>
            </w:r>
            <w:r w:rsidRPr="00002091">
              <w:rPr>
                <w:rFonts w:cs="Times New Roman"/>
                <w:noProof/>
                <w:lang w:eastAsia="es-CO"/>
              </w:rPr>
              <w:t>η</w:t>
            </w:r>
            <w:r w:rsidRPr="00002091">
              <w:rPr>
                <w:rFonts w:cs="Times New Roman"/>
                <w:noProof/>
                <w:vertAlign w:val="subscript"/>
                <w:lang w:eastAsia="es-CO"/>
              </w:rPr>
              <w:t>T</w:t>
            </w:r>
          </w:p>
        </w:tc>
      </w:tr>
      <w:tr w:rsidR="007449A5" w14:paraId="61D920E9" w14:textId="77777777" w:rsidTr="00D90B62">
        <w:trPr>
          <w:jc w:val="center"/>
        </w:trPr>
        <w:tc>
          <w:tcPr>
            <w:tcW w:w="3023" w:type="dxa"/>
            <w:tcBorders>
              <w:left w:val="single" w:sz="4" w:space="0" w:color="auto"/>
              <w:right w:val="single" w:sz="4" w:space="0" w:color="auto"/>
            </w:tcBorders>
          </w:tcPr>
          <w:p w14:paraId="40C409EA" w14:textId="4CFC3CB6" w:rsidR="007449A5" w:rsidRDefault="007449A5" w:rsidP="00912A14">
            <w:pPr>
              <w:jc w:val="left"/>
              <w:rPr>
                <w:noProof/>
                <w:lang w:eastAsia="es-CO"/>
              </w:rPr>
            </w:pPr>
            <w:r>
              <w:rPr>
                <w:noProof/>
                <w:lang w:eastAsia="es-CO"/>
              </w:rPr>
              <w:t>Eficiencia termod</w:t>
            </w:r>
            <w:r w:rsidR="009402AE">
              <w:rPr>
                <w:noProof/>
                <w:lang w:eastAsia="es-CO"/>
              </w:rPr>
              <w:t>. de</w:t>
            </w:r>
            <w:r>
              <w:rPr>
                <w:noProof/>
                <w:lang w:eastAsia="es-CO"/>
              </w:rPr>
              <w:t xml:space="preserve"> ciclo (%)</w:t>
            </w:r>
          </w:p>
        </w:tc>
        <w:tc>
          <w:tcPr>
            <w:tcW w:w="1367" w:type="dxa"/>
            <w:tcBorders>
              <w:left w:val="single" w:sz="4" w:space="0" w:color="auto"/>
              <w:right w:val="single" w:sz="4" w:space="0" w:color="auto"/>
            </w:tcBorders>
          </w:tcPr>
          <w:p w14:paraId="3BBD2249" w14:textId="1C6D2956" w:rsidR="007449A5" w:rsidRPr="00DF6E76" w:rsidRDefault="00DF6E76" w:rsidP="00912A14">
            <w:pPr>
              <w:rPr>
                <w:rFonts w:cs="Times New Roman"/>
                <w:noProof/>
                <w:lang w:eastAsia="es-CO"/>
              </w:rPr>
            </w:pPr>
            <w:r w:rsidRPr="00DF6E76">
              <w:rPr>
                <w:rFonts w:cs="Times New Roman"/>
                <w:noProof/>
                <w:lang w:eastAsia="es-CO"/>
              </w:rPr>
              <w:t>η</w:t>
            </w:r>
          </w:p>
        </w:tc>
      </w:tr>
      <w:tr w:rsidR="007449A5" w14:paraId="4DAB835F" w14:textId="77777777" w:rsidTr="00D90B62">
        <w:trPr>
          <w:jc w:val="center"/>
        </w:trPr>
        <w:tc>
          <w:tcPr>
            <w:tcW w:w="3023" w:type="dxa"/>
            <w:tcBorders>
              <w:left w:val="single" w:sz="4" w:space="0" w:color="auto"/>
              <w:right w:val="single" w:sz="4" w:space="0" w:color="auto"/>
            </w:tcBorders>
          </w:tcPr>
          <w:p w14:paraId="6EE8DA7D" w14:textId="77777777" w:rsidR="007449A5" w:rsidRDefault="007449A5" w:rsidP="00912A14">
            <w:pPr>
              <w:jc w:val="left"/>
              <w:rPr>
                <w:noProof/>
                <w:lang w:eastAsia="es-CO"/>
              </w:rPr>
            </w:pPr>
            <w:r>
              <w:rPr>
                <w:noProof/>
                <w:lang w:eastAsia="es-CO"/>
              </w:rPr>
              <w:t>Factor de utilidad (%)</w:t>
            </w:r>
          </w:p>
        </w:tc>
        <w:tc>
          <w:tcPr>
            <w:tcW w:w="1367" w:type="dxa"/>
            <w:tcBorders>
              <w:left w:val="single" w:sz="4" w:space="0" w:color="auto"/>
              <w:right w:val="single" w:sz="4" w:space="0" w:color="auto"/>
            </w:tcBorders>
          </w:tcPr>
          <w:p w14:paraId="7612E36B" w14:textId="77777777" w:rsidR="007449A5" w:rsidRDefault="007449A5" w:rsidP="00912A14">
            <w:pPr>
              <w:rPr>
                <w:rFonts w:eastAsia="Calibri" w:cs="Times New Roman"/>
                <w:iCs/>
              </w:rPr>
            </w:pPr>
            <w:r>
              <w:rPr>
                <w:rFonts w:eastAsia="Calibri" w:cs="Times New Roman"/>
                <w:iCs/>
              </w:rPr>
              <w:t>ε</w:t>
            </w:r>
            <w:r w:rsidRPr="00976FFC">
              <w:rPr>
                <w:rFonts w:eastAsia="Calibri" w:cs="Times New Roman"/>
                <w:iCs/>
                <w:vertAlign w:val="subscript"/>
              </w:rPr>
              <w:t>u</w:t>
            </w:r>
          </w:p>
        </w:tc>
      </w:tr>
      <w:tr w:rsidR="007449A5" w14:paraId="49A2C6C9" w14:textId="77777777" w:rsidTr="00D90B62">
        <w:trPr>
          <w:jc w:val="center"/>
        </w:trPr>
        <w:tc>
          <w:tcPr>
            <w:tcW w:w="3023" w:type="dxa"/>
            <w:tcBorders>
              <w:left w:val="single" w:sz="4" w:space="0" w:color="auto"/>
              <w:right w:val="single" w:sz="4" w:space="0" w:color="auto"/>
            </w:tcBorders>
          </w:tcPr>
          <w:p w14:paraId="47DBA4F5" w14:textId="77777777" w:rsidR="007449A5" w:rsidRDefault="007449A5" w:rsidP="00912A14">
            <w:pPr>
              <w:jc w:val="left"/>
              <w:rPr>
                <w:noProof/>
                <w:lang w:eastAsia="es-CO"/>
              </w:rPr>
            </w:pPr>
            <w:r>
              <w:rPr>
                <w:noProof/>
                <w:lang w:eastAsia="es-CO"/>
              </w:rPr>
              <w:t>Flujo másico vapor (kg/s)</w:t>
            </w:r>
          </w:p>
        </w:tc>
        <w:tc>
          <w:tcPr>
            <w:tcW w:w="1367" w:type="dxa"/>
            <w:tcBorders>
              <w:left w:val="single" w:sz="4" w:space="0" w:color="auto"/>
              <w:right w:val="single" w:sz="4" w:space="0" w:color="auto"/>
            </w:tcBorders>
          </w:tcPr>
          <w:p w14:paraId="505435DA" w14:textId="2E9378EA" w:rsidR="007449A5" w:rsidRPr="003846C0" w:rsidRDefault="007D63EF" w:rsidP="00912A14">
            <w:pPr>
              <w:rPr>
                <w:rFonts w:eastAsia="Calibri" w:cs="Times New Roman"/>
                <w:iCs/>
              </w:rPr>
            </w:pPr>
            <m:oMathPara>
              <m:oMathParaPr>
                <m:jc m:val="left"/>
              </m:oMathParaPr>
              <m:oMath>
                <m:sSub>
                  <m:sSubPr>
                    <m:ctrlPr>
                      <w:rPr>
                        <w:rFonts w:ascii="Cambria Math" w:eastAsia="Calibri" w:hAnsi="Cambria Math" w:cs="Times New Roman"/>
                      </w:rPr>
                    </m:ctrlPr>
                  </m:sSubPr>
                  <m:e>
                    <m:acc>
                      <m:accPr>
                        <m:chr m:val="̇"/>
                        <m:ctrlPr>
                          <w:rPr>
                            <w:rFonts w:ascii="Cambria Math" w:eastAsia="Calibri" w:hAnsi="Cambria Math" w:cs="Times New Roman"/>
                          </w:rPr>
                        </m:ctrlPr>
                      </m:accPr>
                      <m:e>
                        <m:r>
                          <m:rPr>
                            <m:sty m:val="p"/>
                          </m:rPr>
                          <w:rPr>
                            <w:rFonts w:ascii="Cambria Math" w:eastAsia="Calibri" w:hAnsi="Cambria Math" w:cs="Times New Roman"/>
                          </w:rPr>
                          <m:t>m</m:t>
                        </m:r>
                      </m:e>
                    </m:acc>
                  </m:e>
                  <m:sub>
                    <m:r>
                      <m:rPr>
                        <m:sty m:val="p"/>
                      </m:rPr>
                      <w:rPr>
                        <w:rFonts w:ascii="Cambria Math" w:eastAsia="Calibri" w:hAnsi="Cambria Math" w:cs="Times New Roman"/>
                      </w:rPr>
                      <m:t>v</m:t>
                    </m:r>
                  </m:sub>
                </m:sSub>
              </m:oMath>
            </m:oMathPara>
          </w:p>
        </w:tc>
      </w:tr>
    </w:tbl>
    <w:p w14:paraId="798890DB" w14:textId="6434A086" w:rsidR="00C93359" w:rsidRDefault="00DF6EDE" w:rsidP="00297F17">
      <w:pPr>
        <w:pStyle w:val="Descripcin"/>
        <w:rPr>
          <w:sz w:val="18"/>
          <w:szCs w:val="16"/>
        </w:rPr>
      </w:pPr>
      <w:r w:rsidRPr="00297F17">
        <w:rPr>
          <w:sz w:val="18"/>
          <w:szCs w:val="16"/>
        </w:rPr>
        <w:t xml:space="preserve">Fuente: elaboración propia. </w:t>
      </w:r>
    </w:p>
    <w:p w14:paraId="51FF236D" w14:textId="43FEE8E9" w:rsidR="00D301F6" w:rsidRDefault="00D301F6" w:rsidP="00D301F6">
      <w:pPr>
        <w:rPr>
          <w:lang w:eastAsia="es-CO"/>
        </w:rPr>
      </w:pPr>
    </w:p>
    <w:p w14:paraId="253A0418" w14:textId="77777777" w:rsidR="00D301F6" w:rsidRPr="00D301F6" w:rsidRDefault="00D301F6" w:rsidP="00D301F6">
      <w:pPr>
        <w:rPr>
          <w:lang w:eastAsia="es-CO"/>
        </w:rPr>
      </w:pPr>
    </w:p>
    <w:p w14:paraId="7879D52F" w14:textId="253D4D97" w:rsidR="00415A9D" w:rsidRDefault="002C5868" w:rsidP="002C5868">
      <w:pPr>
        <w:pStyle w:val="Ttulo3"/>
      </w:pPr>
      <w:r>
        <w:lastRenderedPageBreak/>
        <w:t>Reacción de combustión</w:t>
      </w:r>
    </w:p>
    <w:p w14:paraId="252BBED8" w14:textId="1A5D1FFA" w:rsidR="004C7930" w:rsidRDefault="00F83C12" w:rsidP="004C7930">
      <w:r>
        <w:rPr>
          <w:rFonts w:eastAsiaTheme="minorEastAsia"/>
        </w:rPr>
        <w:t xml:space="preserve">El horno de incineración, </w:t>
      </w:r>
      <w:r w:rsidR="00C73F7B">
        <w:rPr>
          <w:rFonts w:eastAsiaTheme="minorEastAsia"/>
        </w:rPr>
        <w:t>preferentemente de</w:t>
      </w:r>
      <w:r>
        <w:rPr>
          <w:rFonts w:eastAsiaTheme="minorEastAsia"/>
        </w:rPr>
        <w:t xml:space="preserve"> parrillas móviles, recibe los residuos a una tasa constante, </w:t>
      </w:r>
      <m:oMath>
        <m:sSub>
          <m:sSubPr>
            <m:ctrlPr>
              <w:rPr>
                <w:rFonts w:ascii="Cambria Math" w:eastAsiaTheme="minorEastAsia" w:hAnsi="Cambria Math"/>
                <w:iCs/>
              </w:rPr>
            </m:ctrlPr>
          </m:sSubPr>
          <m:e>
            <m:acc>
              <m:accPr>
                <m:chr m:val="̇"/>
                <m:ctrlPr>
                  <w:rPr>
                    <w:rFonts w:ascii="Cambria Math" w:eastAsiaTheme="minorEastAsia" w:hAnsi="Cambria Math"/>
                    <w:iCs/>
                  </w:rPr>
                </m:ctrlPr>
              </m:accPr>
              <m:e>
                <m:r>
                  <m:rPr>
                    <m:sty m:val="p"/>
                  </m:rPr>
                  <w:rPr>
                    <w:rFonts w:ascii="Cambria Math" w:eastAsiaTheme="minorEastAsia" w:hAnsi="Cambria Math"/>
                  </w:rPr>
                  <m:t>m</m:t>
                </m:r>
              </m:e>
            </m:acc>
            <m:ctrlPr>
              <w:rPr>
                <w:rFonts w:ascii="Cambria Math" w:eastAsia="Cambria Math" w:hAnsi="Cambria Math" w:cs="Cambria Math"/>
                <w:iCs/>
              </w:rPr>
            </m:ctrlPr>
          </m:e>
          <m:sub>
            <m:r>
              <m:rPr>
                <m:sty m:val="p"/>
              </m:rPr>
              <w:rPr>
                <w:rFonts w:ascii="Cambria Math" w:eastAsia="Cambria Math" w:hAnsi="Cambria Math" w:cs="Cambria Math"/>
              </w:rPr>
              <m:t>RSU</m:t>
            </m:r>
          </m:sub>
        </m:sSub>
      </m:oMath>
      <w:r>
        <w:rPr>
          <w:rFonts w:eastAsiaTheme="minorEastAsia"/>
        </w:rPr>
        <w:t xml:space="preserve">, y junto </w:t>
      </w:r>
      <w:r w:rsidR="0009692D">
        <w:rPr>
          <w:rFonts w:eastAsiaTheme="minorEastAsia"/>
        </w:rPr>
        <w:t>con el</w:t>
      </w:r>
      <w:r>
        <w:rPr>
          <w:rFonts w:eastAsiaTheme="minorEastAsia"/>
        </w:rPr>
        <w:t xml:space="preserve"> aire precalentado de entrada, </w:t>
      </w:r>
      <m:oMath>
        <m:sSub>
          <m:sSubPr>
            <m:ctrlPr>
              <w:rPr>
                <w:rFonts w:ascii="Cambria Math" w:eastAsiaTheme="minorEastAsia" w:hAnsi="Cambria Math"/>
                <w:iCs/>
              </w:rPr>
            </m:ctrlPr>
          </m:sSubPr>
          <m:e>
            <m:acc>
              <m:accPr>
                <m:chr m:val="̇"/>
                <m:ctrlPr>
                  <w:rPr>
                    <w:rFonts w:ascii="Cambria Math" w:eastAsiaTheme="minorEastAsia" w:hAnsi="Cambria Math"/>
                    <w:iCs/>
                  </w:rPr>
                </m:ctrlPr>
              </m:accPr>
              <m:e>
                <m:r>
                  <m:rPr>
                    <m:sty m:val="p"/>
                  </m:rPr>
                  <w:rPr>
                    <w:rFonts w:ascii="Cambria Math" w:eastAsiaTheme="minorEastAsia" w:hAnsi="Cambria Math"/>
                  </w:rPr>
                  <m:t>m</m:t>
                </m:r>
              </m:e>
            </m:acc>
            <m:ctrlPr>
              <w:rPr>
                <w:rFonts w:ascii="Cambria Math" w:eastAsia="Cambria Math" w:hAnsi="Cambria Math" w:cs="Cambria Math"/>
                <w:iCs/>
              </w:rPr>
            </m:ctrlPr>
          </m:e>
          <m:sub>
            <m:r>
              <m:rPr>
                <m:sty m:val="p"/>
              </m:rPr>
              <w:rPr>
                <w:rFonts w:ascii="Cambria Math" w:eastAsia="Cambria Math" w:hAnsi="Cambria Math" w:cs="Cambria Math"/>
              </w:rPr>
              <m:t>air</m:t>
            </m:r>
          </m:sub>
        </m:sSub>
      </m:oMath>
      <w:r>
        <w:rPr>
          <w:rFonts w:eastAsiaTheme="minorEastAsia"/>
        </w:rPr>
        <w:t>, reaccionan con la llama.</w:t>
      </w:r>
      <w:r w:rsidR="0009692D">
        <w:rPr>
          <w:rFonts w:eastAsiaTheme="minorEastAsia"/>
        </w:rPr>
        <w:t xml:space="preserve"> </w:t>
      </w:r>
      <w:r w:rsidR="004C7930">
        <w:t xml:space="preserve">La reacción de combustión en la cámara de incineración está dada por la expresión </w:t>
      </w:r>
      <w:r w:rsidR="004C7930">
        <w:fldChar w:fldCharType="begin"/>
      </w:r>
      <w:r w:rsidR="004C7930">
        <w:instrText xml:space="preserve"> REF _Ref110282152 \h </w:instrText>
      </w:r>
      <w:r w:rsidR="004C7930">
        <w:fldChar w:fldCharType="separate"/>
      </w:r>
      <w:r w:rsidR="00D23522" w:rsidRPr="00BA3656">
        <w:t>(</w:t>
      </w:r>
      <w:r w:rsidR="00D23522">
        <w:rPr>
          <w:noProof/>
        </w:rPr>
        <w:t>17</w:t>
      </w:r>
      <w:r w:rsidR="004C7930">
        <w:fldChar w:fldCharType="end"/>
      </w:r>
      <w:r w:rsidR="004C7930">
        <w:t>):</w:t>
      </w:r>
    </w:p>
    <w:p w14:paraId="01F1CA9A" w14:textId="77777777" w:rsidR="00D23522" w:rsidRPr="00E40A54" w:rsidRDefault="00D23522" w:rsidP="004C7930">
      <w:pPr>
        <w:rPr>
          <w:sz w:val="10"/>
          <w:szCs w:val="10"/>
        </w:rPr>
      </w:pPr>
    </w:p>
    <w:tbl>
      <w:tblPr>
        <w:tblStyle w:val="Tablaconcuadrcula"/>
        <w:tblW w:w="4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550"/>
      </w:tblGrid>
      <w:tr w:rsidR="004C7930" w:rsidRPr="00BA3656" w14:paraId="5F592B50" w14:textId="77777777" w:rsidTr="00D23522">
        <w:tc>
          <w:tcPr>
            <w:tcW w:w="3948" w:type="dxa"/>
            <w:vAlign w:val="center"/>
          </w:tcPr>
          <w:p w14:paraId="252CDF42" w14:textId="77777777" w:rsidR="004C7930" w:rsidRPr="00FE6630" w:rsidRDefault="007D63EF">
            <w:pPr>
              <w:rPr>
                <w:rFonts w:eastAsiaTheme="minorEastAsia"/>
                <w:iCs/>
                <w:sz w:val="19"/>
                <w:szCs w:val="19"/>
              </w:rPr>
            </w:pPr>
            <m:oMathPara>
              <m:oMathParaPr>
                <m:jc m:val="left"/>
              </m:oMathParaPr>
              <m:oMath>
                <m:d>
                  <m:dPr>
                    <m:ctrlPr>
                      <w:rPr>
                        <w:rFonts w:ascii="Cambria Math" w:hAnsi="Cambria Math"/>
                        <w:iCs/>
                        <w:sz w:val="19"/>
                        <w:szCs w:val="19"/>
                        <w:lang w:val="es-ES_tradnl"/>
                      </w:rPr>
                    </m:ctrlPr>
                  </m:dPr>
                  <m:e>
                    <m:sSub>
                      <m:sSubPr>
                        <m:ctrlPr>
                          <w:rPr>
                            <w:rFonts w:ascii="Cambria Math" w:hAnsi="Cambria Math"/>
                            <w:iCs/>
                            <w:sz w:val="19"/>
                            <w:szCs w:val="19"/>
                            <w:lang w:val="es-ES_tradnl"/>
                          </w:rPr>
                        </m:ctrlPr>
                      </m:sSubPr>
                      <m:e>
                        <m:r>
                          <m:rPr>
                            <m:sty m:val="p"/>
                          </m:rPr>
                          <w:rPr>
                            <w:rFonts w:ascii="Cambria Math" w:hAnsi="Cambria Math"/>
                            <w:sz w:val="19"/>
                            <w:szCs w:val="19"/>
                          </w:rPr>
                          <m:t>C</m:t>
                        </m:r>
                      </m:e>
                      <m:sub>
                        <m:r>
                          <m:rPr>
                            <m:sty m:val="p"/>
                          </m:rPr>
                          <w:rPr>
                            <w:rFonts w:ascii="Cambria Math" w:hAnsi="Cambria Math"/>
                            <w:sz w:val="19"/>
                            <w:szCs w:val="19"/>
                          </w:rPr>
                          <m:t>27,91</m:t>
                        </m:r>
                      </m:sub>
                    </m:sSub>
                    <m:sSub>
                      <m:sSubPr>
                        <m:ctrlPr>
                          <w:rPr>
                            <w:rFonts w:ascii="Cambria Math" w:hAnsi="Cambria Math"/>
                            <w:iCs/>
                            <w:sz w:val="19"/>
                            <w:szCs w:val="19"/>
                            <w:lang w:val="es-ES_tradnl"/>
                          </w:rPr>
                        </m:ctrlPr>
                      </m:sSubPr>
                      <m:e>
                        <m:r>
                          <m:rPr>
                            <m:sty m:val="p"/>
                          </m:rPr>
                          <w:rPr>
                            <w:rFonts w:ascii="Cambria Math" w:hAnsi="Cambria Math"/>
                            <w:sz w:val="19"/>
                            <w:szCs w:val="19"/>
                          </w:rPr>
                          <m:t>H</m:t>
                        </m:r>
                      </m:e>
                      <m:sub>
                        <m:r>
                          <m:rPr>
                            <m:sty m:val="p"/>
                          </m:rPr>
                          <w:rPr>
                            <w:rFonts w:ascii="Cambria Math" w:hAnsi="Cambria Math"/>
                            <w:sz w:val="19"/>
                            <w:szCs w:val="19"/>
                          </w:rPr>
                          <m:t>3,66</m:t>
                        </m:r>
                      </m:sub>
                    </m:sSub>
                    <m:sSub>
                      <m:sSubPr>
                        <m:ctrlPr>
                          <w:rPr>
                            <w:rFonts w:ascii="Cambria Math" w:hAnsi="Cambria Math"/>
                            <w:iCs/>
                            <w:sz w:val="19"/>
                            <w:szCs w:val="19"/>
                            <w:lang w:val="es-ES_tradnl"/>
                          </w:rPr>
                        </m:ctrlPr>
                      </m:sSubPr>
                      <m:e>
                        <m:r>
                          <m:rPr>
                            <m:sty m:val="p"/>
                          </m:rPr>
                          <w:rPr>
                            <w:rFonts w:ascii="Cambria Math" w:hAnsi="Cambria Math"/>
                            <w:sz w:val="19"/>
                            <w:szCs w:val="19"/>
                          </w:rPr>
                          <m:t>O</m:t>
                        </m:r>
                      </m:e>
                      <m:sub>
                        <m:r>
                          <m:rPr>
                            <m:sty m:val="p"/>
                          </m:rPr>
                          <w:rPr>
                            <w:rFonts w:ascii="Cambria Math" w:hAnsi="Cambria Math"/>
                            <w:sz w:val="19"/>
                            <w:szCs w:val="19"/>
                          </w:rPr>
                          <m:t>14,75</m:t>
                        </m:r>
                      </m:sub>
                    </m:sSub>
                    <m:sSub>
                      <m:sSubPr>
                        <m:ctrlPr>
                          <w:rPr>
                            <w:rFonts w:ascii="Cambria Math" w:hAnsi="Cambria Math"/>
                            <w:iCs/>
                            <w:sz w:val="19"/>
                            <w:szCs w:val="19"/>
                            <w:lang w:val="es-ES_tradnl"/>
                          </w:rPr>
                        </m:ctrlPr>
                      </m:sSubPr>
                      <m:e>
                        <m:r>
                          <m:rPr>
                            <m:sty m:val="p"/>
                          </m:rPr>
                          <w:rPr>
                            <w:rFonts w:ascii="Cambria Math" w:hAnsi="Cambria Math"/>
                            <w:sz w:val="19"/>
                            <w:szCs w:val="19"/>
                          </w:rPr>
                          <m:t>N</m:t>
                        </m:r>
                      </m:e>
                      <m:sub>
                        <m:r>
                          <m:rPr>
                            <m:sty m:val="p"/>
                          </m:rPr>
                          <w:rPr>
                            <w:rFonts w:ascii="Cambria Math" w:hAnsi="Cambria Math"/>
                            <w:sz w:val="19"/>
                            <w:szCs w:val="19"/>
                          </w:rPr>
                          <m:t>1,12</m:t>
                        </m:r>
                      </m:sub>
                    </m:sSub>
                    <m:sSub>
                      <m:sSubPr>
                        <m:ctrlPr>
                          <w:rPr>
                            <w:rFonts w:ascii="Cambria Math" w:hAnsi="Cambria Math"/>
                            <w:iCs/>
                            <w:sz w:val="19"/>
                            <w:szCs w:val="19"/>
                            <w:lang w:val="es-ES_tradnl"/>
                          </w:rPr>
                        </m:ctrlPr>
                      </m:sSubPr>
                      <m:e>
                        <m:r>
                          <m:rPr>
                            <m:sty m:val="p"/>
                          </m:rPr>
                          <w:rPr>
                            <w:rFonts w:ascii="Cambria Math" w:hAnsi="Cambria Math"/>
                            <w:sz w:val="19"/>
                            <w:szCs w:val="19"/>
                          </w:rPr>
                          <m:t>S</m:t>
                        </m:r>
                      </m:e>
                      <m:sub>
                        <m:r>
                          <m:rPr>
                            <m:sty m:val="p"/>
                          </m:rPr>
                          <w:rPr>
                            <w:rFonts w:ascii="Cambria Math" w:hAnsi="Cambria Math"/>
                            <w:sz w:val="19"/>
                            <w:szCs w:val="19"/>
                          </w:rPr>
                          <m:t>0,21</m:t>
                        </m:r>
                      </m:sub>
                    </m:sSub>
                    <m:r>
                      <m:rPr>
                        <m:sty m:val="p"/>
                      </m:rPr>
                      <w:rPr>
                        <w:rFonts w:ascii="Cambria Math" w:hAnsi="Cambria Math"/>
                        <w:sz w:val="19"/>
                        <w:szCs w:val="19"/>
                      </w:rPr>
                      <m:t xml:space="preserve">+31,55 </m:t>
                    </m:r>
                    <m:sSub>
                      <m:sSubPr>
                        <m:ctrlPr>
                          <w:rPr>
                            <w:rFonts w:ascii="Cambria Math" w:hAnsi="Cambria Math"/>
                            <w:iCs/>
                            <w:sz w:val="19"/>
                            <w:szCs w:val="19"/>
                            <w:lang w:val="es-ES_tradnl"/>
                          </w:rPr>
                        </m:ctrlPr>
                      </m:sSubPr>
                      <m:e>
                        <m:r>
                          <m:rPr>
                            <m:sty m:val="p"/>
                          </m:rPr>
                          <w:rPr>
                            <w:rFonts w:ascii="Cambria Math" w:hAnsi="Cambria Math"/>
                            <w:sz w:val="19"/>
                            <w:szCs w:val="19"/>
                          </w:rPr>
                          <m:t>H</m:t>
                        </m:r>
                      </m:e>
                      <m:sub>
                        <m:r>
                          <m:rPr>
                            <m:sty m:val="p"/>
                          </m:rPr>
                          <w:rPr>
                            <w:rFonts w:ascii="Cambria Math" w:hAnsi="Cambria Math"/>
                            <w:sz w:val="19"/>
                            <w:szCs w:val="19"/>
                          </w:rPr>
                          <m:t>2</m:t>
                        </m:r>
                      </m:sub>
                    </m:sSub>
                    <m:r>
                      <m:rPr>
                        <m:sty m:val="p"/>
                      </m:rPr>
                      <w:rPr>
                        <w:rFonts w:ascii="Cambria Math" w:hAnsi="Cambria Math"/>
                        <w:sz w:val="19"/>
                        <w:szCs w:val="19"/>
                      </w:rPr>
                      <m:t>O</m:t>
                    </m:r>
                  </m:e>
                </m:d>
                <m:r>
                  <m:rPr>
                    <m:sty m:val="p"/>
                  </m:rPr>
                  <w:rPr>
                    <w:rFonts w:ascii="Cambria Math" w:hAnsi="Cambria Math"/>
                    <w:sz w:val="19"/>
                    <w:szCs w:val="19"/>
                  </w:rPr>
                  <m:t>+</m:t>
                </m:r>
                <m:r>
                  <m:rPr>
                    <m:sty m:val="p"/>
                  </m:rPr>
                  <w:rPr>
                    <w:rFonts w:ascii="Cambria Math" w:hAnsi="Cambria Math"/>
                    <w:sz w:val="19"/>
                    <w:szCs w:val="19"/>
                  </w:rPr>
                  <w:br/>
                </m:r>
              </m:oMath>
              <m:oMath>
                <m:r>
                  <m:rPr>
                    <m:sty m:val="p"/>
                  </m:rPr>
                  <w:rPr>
                    <w:rFonts w:ascii="Cambria Math" w:hAnsi="Cambria Math"/>
                    <w:sz w:val="19"/>
                    <w:szCs w:val="19"/>
                  </w:rPr>
                  <m:t xml:space="preserve">1,4 </m:t>
                </m:r>
                <m:d>
                  <m:dPr>
                    <m:ctrlPr>
                      <w:rPr>
                        <w:rFonts w:ascii="Cambria Math" w:hAnsi="Cambria Math"/>
                        <w:iCs/>
                        <w:sz w:val="19"/>
                        <w:szCs w:val="19"/>
                        <w:lang w:val="es-ES_tradnl"/>
                      </w:rPr>
                    </m:ctrlPr>
                  </m:dPr>
                  <m:e>
                    <m:r>
                      <m:rPr>
                        <m:sty m:val="p"/>
                      </m:rPr>
                      <w:rPr>
                        <w:rFonts w:ascii="Cambria Math" w:hAnsi="Cambria Math"/>
                        <w:sz w:val="19"/>
                        <w:szCs w:val="19"/>
                      </w:rPr>
                      <m:t xml:space="preserve">21,66 </m:t>
                    </m:r>
                    <m:d>
                      <m:dPr>
                        <m:ctrlPr>
                          <w:rPr>
                            <w:rFonts w:ascii="Cambria Math" w:hAnsi="Cambria Math"/>
                            <w:iCs/>
                            <w:sz w:val="19"/>
                            <w:szCs w:val="19"/>
                            <w:lang w:val="es-ES_tradnl"/>
                          </w:rPr>
                        </m:ctrlPr>
                      </m:dPr>
                      <m:e>
                        <m:sSub>
                          <m:sSubPr>
                            <m:ctrlPr>
                              <w:rPr>
                                <w:rFonts w:ascii="Cambria Math" w:hAnsi="Cambria Math"/>
                                <w:iCs/>
                                <w:sz w:val="19"/>
                                <w:szCs w:val="19"/>
                                <w:lang w:val="es-ES_tradnl"/>
                              </w:rPr>
                            </m:ctrlPr>
                          </m:sSubPr>
                          <m:e>
                            <m:r>
                              <m:rPr>
                                <m:sty m:val="p"/>
                              </m:rPr>
                              <w:rPr>
                                <w:rFonts w:ascii="Cambria Math" w:hAnsi="Cambria Math"/>
                                <w:sz w:val="19"/>
                                <w:szCs w:val="19"/>
                              </w:rPr>
                              <m:t>O</m:t>
                            </m:r>
                          </m:e>
                          <m:sub>
                            <m:r>
                              <m:rPr>
                                <m:sty m:val="p"/>
                              </m:rPr>
                              <w:rPr>
                                <w:rFonts w:ascii="Cambria Math" w:hAnsi="Cambria Math"/>
                                <w:sz w:val="19"/>
                                <w:szCs w:val="19"/>
                              </w:rPr>
                              <m:t>2</m:t>
                            </m:r>
                          </m:sub>
                        </m:sSub>
                        <m:r>
                          <m:rPr>
                            <m:sty m:val="p"/>
                          </m:rPr>
                          <w:rPr>
                            <w:rFonts w:ascii="Cambria Math" w:hAnsi="Cambria Math"/>
                            <w:sz w:val="19"/>
                            <w:szCs w:val="19"/>
                          </w:rPr>
                          <m:t>+3,76</m:t>
                        </m:r>
                        <m:sSub>
                          <m:sSubPr>
                            <m:ctrlPr>
                              <w:rPr>
                                <w:rFonts w:ascii="Cambria Math" w:hAnsi="Cambria Math"/>
                                <w:iCs/>
                                <w:sz w:val="19"/>
                                <w:szCs w:val="19"/>
                                <w:lang w:val="es-ES_tradnl"/>
                              </w:rPr>
                            </m:ctrlPr>
                          </m:sSubPr>
                          <m:e>
                            <m:r>
                              <m:rPr>
                                <m:sty m:val="p"/>
                              </m:rPr>
                              <w:rPr>
                                <w:rFonts w:ascii="Cambria Math" w:hAnsi="Cambria Math"/>
                                <w:sz w:val="19"/>
                                <w:szCs w:val="19"/>
                              </w:rPr>
                              <m:t>N</m:t>
                            </m:r>
                          </m:e>
                          <m:sub>
                            <m:r>
                              <m:rPr>
                                <m:sty m:val="p"/>
                              </m:rPr>
                              <w:rPr>
                                <w:rFonts w:ascii="Cambria Math" w:hAnsi="Cambria Math"/>
                                <w:sz w:val="19"/>
                                <w:szCs w:val="19"/>
                              </w:rPr>
                              <m:t>2</m:t>
                            </m:r>
                          </m:sub>
                        </m:sSub>
                      </m:e>
                    </m:d>
                  </m:e>
                </m:d>
                <m:r>
                  <m:rPr>
                    <m:sty m:val="p"/>
                  </m:rPr>
                  <w:rPr>
                    <w:rFonts w:ascii="Cambria Math" w:hAnsi="Cambria Math"/>
                    <w:sz w:val="19"/>
                    <w:szCs w:val="19"/>
                  </w:rPr>
                  <m:t xml:space="preserve">+0,358 </m:t>
                </m:r>
                <m:sSub>
                  <m:sSubPr>
                    <m:ctrlPr>
                      <w:rPr>
                        <w:rFonts w:ascii="Cambria Math" w:hAnsi="Cambria Math"/>
                        <w:iCs/>
                        <w:sz w:val="19"/>
                        <w:szCs w:val="19"/>
                        <w:lang w:val="es-ES_tradnl"/>
                      </w:rPr>
                    </m:ctrlPr>
                  </m:sSubPr>
                  <m:e>
                    <m:r>
                      <m:rPr>
                        <m:sty m:val="p"/>
                      </m:rPr>
                      <w:rPr>
                        <w:rFonts w:ascii="Cambria Math" w:hAnsi="Cambria Math"/>
                        <w:sz w:val="19"/>
                        <w:szCs w:val="19"/>
                      </w:rPr>
                      <m:t>H</m:t>
                    </m:r>
                  </m:e>
                  <m:sub>
                    <m:r>
                      <m:rPr>
                        <m:sty m:val="p"/>
                      </m:rPr>
                      <w:rPr>
                        <w:rFonts w:ascii="Cambria Math" w:hAnsi="Cambria Math"/>
                        <w:sz w:val="19"/>
                        <w:szCs w:val="19"/>
                      </w:rPr>
                      <m:t>2</m:t>
                    </m:r>
                  </m:sub>
                </m:sSub>
                <m:sSub>
                  <m:sSubPr>
                    <m:ctrlPr>
                      <w:rPr>
                        <w:rFonts w:ascii="Cambria Math" w:hAnsi="Cambria Math"/>
                        <w:iCs/>
                        <w:sz w:val="19"/>
                        <w:szCs w:val="19"/>
                        <w:lang w:val="es-ES_tradnl"/>
                      </w:rPr>
                    </m:ctrlPr>
                  </m:sSubPr>
                  <m:e>
                    <m:r>
                      <m:rPr>
                        <m:sty m:val="p"/>
                      </m:rPr>
                      <w:rPr>
                        <w:rFonts w:ascii="Cambria Math" w:hAnsi="Cambria Math"/>
                        <w:sz w:val="19"/>
                        <w:szCs w:val="19"/>
                      </w:rPr>
                      <m:t>O</m:t>
                    </m:r>
                  </m:e>
                  <m:sub>
                    <m:d>
                      <m:dPr>
                        <m:ctrlPr>
                          <w:rPr>
                            <w:rFonts w:ascii="Cambria Math" w:hAnsi="Cambria Math"/>
                            <w:iCs/>
                            <w:sz w:val="19"/>
                            <w:szCs w:val="19"/>
                          </w:rPr>
                        </m:ctrlPr>
                      </m:dPr>
                      <m:e>
                        <m:r>
                          <m:rPr>
                            <m:sty m:val="p"/>
                          </m:rPr>
                          <w:rPr>
                            <w:rFonts w:ascii="Cambria Math" w:hAnsi="Cambria Math"/>
                            <w:sz w:val="19"/>
                            <w:szCs w:val="19"/>
                          </w:rPr>
                          <m:t>g</m:t>
                        </m:r>
                      </m:e>
                    </m:d>
                  </m:sub>
                </m:sSub>
                <m:r>
                  <m:rPr>
                    <m:sty m:val="p"/>
                  </m:rPr>
                  <w:rPr>
                    <w:rFonts w:ascii="Cambria Math" w:hAnsi="Cambria Math"/>
                    <w:sz w:val="19"/>
                    <w:szCs w:val="19"/>
                  </w:rPr>
                  <m:t>⟹</m:t>
                </m:r>
              </m:oMath>
            </m:oMathPara>
          </w:p>
          <w:p w14:paraId="457DBC3F" w14:textId="77777777" w:rsidR="004C7930" w:rsidRPr="00E40A54" w:rsidRDefault="004C7930">
            <w:pPr>
              <w:rPr>
                <w:rFonts w:eastAsiaTheme="minorEastAsia"/>
                <w:iCs/>
                <w:sz w:val="8"/>
                <w:szCs w:val="8"/>
              </w:rPr>
            </w:pPr>
            <m:oMathPara>
              <m:oMathParaPr>
                <m:jc m:val="left"/>
              </m:oMathParaPr>
              <m:oMath>
                <m:r>
                  <m:rPr>
                    <m:sty m:val="p"/>
                  </m:rPr>
                  <w:rPr>
                    <w:rFonts w:ascii="Cambria Math" w:hAnsi="Cambria Math"/>
                    <w:sz w:val="8"/>
                    <w:szCs w:val="8"/>
                  </w:rPr>
                  <m:t xml:space="preserve"> </m:t>
                </m:r>
              </m:oMath>
            </m:oMathPara>
          </w:p>
          <w:p w14:paraId="03AB8B7E" w14:textId="77777777" w:rsidR="004C7930" w:rsidRPr="00BA3656" w:rsidRDefault="004C7930">
            <w:pPr>
              <w:rPr>
                <w:iCs/>
              </w:rPr>
            </w:pPr>
            <m:oMathPara>
              <m:oMathParaPr>
                <m:jc m:val="left"/>
              </m:oMathParaPr>
              <m:oMath>
                <m:r>
                  <m:rPr>
                    <m:sty m:val="p"/>
                  </m:rPr>
                  <w:rPr>
                    <w:rFonts w:ascii="Cambria Math" w:eastAsiaTheme="minorEastAsia" w:hAnsi="Cambria Math"/>
                    <w:sz w:val="19"/>
                    <w:szCs w:val="19"/>
                  </w:rPr>
                  <m:t>27,91 C</m:t>
                </m:r>
                <m:sSub>
                  <m:sSubPr>
                    <m:ctrlPr>
                      <w:rPr>
                        <w:rFonts w:ascii="Cambria Math" w:eastAsiaTheme="minorEastAsia" w:hAnsi="Cambria Math"/>
                        <w:iCs/>
                        <w:sz w:val="19"/>
                        <w:szCs w:val="19"/>
                        <w:lang w:val="es-ES_tradnl"/>
                      </w:rPr>
                    </m:ctrlPr>
                  </m:sSubPr>
                  <m:e>
                    <m:r>
                      <m:rPr>
                        <m:sty m:val="p"/>
                      </m:rPr>
                      <w:rPr>
                        <w:rFonts w:ascii="Cambria Math" w:eastAsiaTheme="minorEastAsia" w:hAnsi="Cambria Math"/>
                        <w:sz w:val="19"/>
                        <w:szCs w:val="19"/>
                      </w:rPr>
                      <m:t>O</m:t>
                    </m:r>
                  </m:e>
                  <m:sub>
                    <m:r>
                      <m:rPr>
                        <m:sty m:val="p"/>
                      </m:rPr>
                      <w:rPr>
                        <w:rFonts w:ascii="Cambria Math" w:eastAsiaTheme="minorEastAsia" w:hAnsi="Cambria Math"/>
                        <w:sz w:val="19"/>
                        <w:szCs w:val="19"/>
                      </w:rPr>
                      <m:t>2</m:t>
                    </m:r>
                  </m:sub>
                </m:sSub>
                <m:r>
                  <m:rPr>
                    <m:sty m:val="p"/>
                  </m:rPr>
                  <w:rPr>
                    <w:rFonts w:ascii="Cambria Math" w:eastAsiaTheme="minorEastAsia" w:hAnsi="Cambria Math"/>
                    <w:sz w:val="19"/>
                    <w:szCs w:val="19"/>
                  </w:rPr>
                  <m:t xml:space="preserve">+33,738 </m:t>
                </m:r>
                <m:sSub>
                  <m:sSubPr>
                    <m:ctrlPr>
                      <w:rPr>
                        <w:rFonts w:ascii="Cambria Math" w:eastAsiaTheme="minorEastAsia" w:hAnsi="Cambria Math"/>
                        <w:iCs/>
                        <w:sz w:val="19"/>
                        <w:szCs w:val="19"/>
                        <w:lang w:val="es-ES_tradnl"/>
                      </w:rPr>
                    </m:ctrlPr>
                  </m:sSubPr>
                  <m:e>
                    <m:r>
                      <m:rPr>
                        <m:sty m:val="p"/>
                      </m:rPr>
                      <w:rPr>
                        <w:rFonts w:ascii="Cambria Math" w:eastAsiaTheme="minorEastAsia" w:hAnsi="Cambria Math"/>
                        <w:sz w:val="19"/>
                        <w:szCs w:val="19"/>
                      </w:rPr>
                      <m:t>H</m:t>
                    </m:r>
                  </m:e>
                  <m:sub>
                    <m:r>
                      <m:rPr>
                        <m:sty m:val="p"/>
                      </m:rPr>
                      <w:rPr>
                        <w:rFonts w:ascii="Cambria Math" w:eastAsiaTheme="minorEastAsia" w:hAnsi="Cambria Math"/>
                        <w:sz w:val="19"/>
                        <w:szCs w:val="19"/>
                      </w:rPr>
                      <m:t>2</m:t>
                    </m:r>
                  </m:sub>
                </m:sSub>
                <m:sSub>
                  <m:sSubPr>
                    <m:ctrlPr>
                      <w:rPr>
                        <w:rFonts w:ascii="Cambria Math" w:eastAsiaTheme="minorEastAsia" w:hAnsi="Cambria Math"/>
                        <w:iCs/>
                        <w:sz w:val="19"/>
                        <w:szCs w:val="19"/>
                        <w:lang w:val="es-ES_tradnl"/>
                      </w:rPr>
                    </m:ctrlPr>
                  </m:sSubPr>
                  <m:e>
                    <m:r>
                      <m:rPr>
                        <m:sty m:val="p"/>
                      </m:rPr>
                      <w:rPr>
                        <w:rFonts w:ascii="Cambria Math" w:eastAsiaTheme="minorEastAsia" w:hAnsi="Cambria Math"/>
                        <w:sz w:val="19"/>
                        <w:szCs w:val="19"/>
                      </w:rPr>
                      <m:t>O</m:t>
                    </m:r>
                  </m:e>
                  <m:sub>
                    <m:d>
                      <m:dPr>
                        <m:ctrlPr>
                          <w:rPr>
                            <w:rFonts w:ascii="Cambria Math" w:eastAsiaTheme="minorEastAsia" w:hAnsi="Cambria Math"/>
                            <w:iCs/>
                            <w:sz w:val="19"/>
                            <w:szCs w:val="19"/>
                          </w:rPr>
                        </m:ctrlPr>
                      </m:dPr>
                      <m:e>
                        <m:r>
                          <m:rPr>
                            <m:sty m:val="p"/>
                          </m:rPr>
                          <w:rPr>
                            <w:rFonts w:ascii="Cambria Math" w:eastAsiaTheme="minorEastAsia" w:hAnsi="Cambria Math"/>
                            <w:sz w:val="19"/>
                            <w:szCs w:val="19"/>
                          </w:rPr>
                          <m:t>g</m:t>
                        </m:r>
                      </m:e>
                    </m:d>
                  </m:sub>
                </m:sSub>
                <m:r>
                  <m:rPr>
                    <m:sty m:val="p"/>
                  </m:rPr>
                  <w:rPr>
                    <w:rFonts w:ascii="Cambria Math" w:eastAsiaTheme="minorEastAsia" w:hAnsi="Cambria Math"/>
                    <w:sz w:val="19"/>
                    <w:szCs w:val="19"/>
                  </w:rPr>
                  <m:t xml:space="preserve">+ 163,44 </m:t>
                </m:r>
                <m:sSub>
                  <m:sSubPr>
                    <m:ctrlPr>
                      <w:rPr>
                        <w:rFonts w:ascii="Cambria Math" w:eastAsiaTheme="minorEastAsia" w:hAnsi="Cambria Math"/>
                        <w:iCs/>
                        <w:sz w:val="19"/>
                        <w:szCs w:val="19"/>
                        <w:lang w:val="es-ES_tradnl"/>
                      </w:rPr>
                    </m:ctrlPr>
                  </m:sSubPr>
                  <m:e>
                    <m:r>
                      <m:rPr>
                        <m:sty m:val="p"/>
                      </m:rPr>
                      <w:rPr>
                        <w:rFonts w:ascii="Cambria Math" w:eastAsiaTheme="minorEastAsia" w:hAnsi="Cambria Math"/>
                        <w:sz w:val="19"/>
                        <w:szCs w:val="19"/>
                      </w:rPr>
                      <m:t>N</m:t>
                    </m:r>
                  </m:e>
                  <m:sub>
                    <m:r>
                      <m:rPr>
                        <m:sty m:val="p"/>
                      </m:rPr>
                      <w:rPr>
                        <w:rFonts w:ascii="Cambria Math" w:eastAsiaTheme="minorEastAsia" w:hAnsi="Cambria Math"/>
                        <w:sz w:val="19"/>
                        <w:szCs w:val="19"/>
                      </w:rPr>
                      <m:t>2</m:t>
                    </m:r>
                  </m:sub>
                </m:sSub>
                <m:r>
                  <m:rPr>
                    <m:sty m:val="p"/>
                  </m:rPr>
                  <w:rPr>
                    <w:rFonts w:ascii="Cambria Math" w:eastAsiaTheme="minorEastAsia" w:hAnsi="Cambria Math"/>
                    <w:sz w:val="19"/>
                    <w:szCs w:val="19"/>
                  </w:rPr>
                  <m:t>+</m:t>
                </m:r>
                <m:r>
                  <m:rPr>
                    <m:sty m:val="p"/>
                  </m:rPr>
                  <w:rPr>
                    <w:rFonts w:ascii="Cambria Math" w:eastAsiaTheme="minorEastAsia" w:hAnsi="Cambria Math"/>
                    <w:sz w:val="19"/>
                    <w:szCs w:val="19"/>
                  </w:rPr>
                  <w:br/>
                </m:r>
              </m:oMath>
              <m:oMath>
                <m:r>
                  <m:rPr>
                    <m:sty m:val="p"/>
                  </m:rPr>
                  <w:rPr>
                    <w:rFonts w:ascii="Cambria Math" w:eastAsiaTheme="minorEastAsia" w:hAnsi="Cambria Math"/>
                    <w:sz w:val="19"/>
                    <w:szCs w:val="19"/>
                  </w:rPr>
                  <m:t>0,21 S</m:t>
                </m:r>
                <m:sSub>
                  <m:sSubPr>
                    <m:ctrlPr>
                      <w:rPr>
                        <w:rFonts w:ascii="Cambria Math" w:eastAsiaTheme="minorEastAsia" w:hAnsi="Cambria Math"/>
                        <w:iCs/>
                        <w:sz w:val="19"/>
                        <w:szCs w:val="19"/>
                        <w:lang w:val="es-ES_tradnl"/>
                      </w:rPr>
                    </m:ctrlPr>
                  </m:sSubPr>
                  <m:e>
                    <m:r>
                      <m:rPr>
                        <m:sty m:val="p"/>
                      </m:rPr>
                      <w:rPr>
                        <w:rFonts w:ascii="Cambria Math" w:eastAsiaTheme="minorEastAsia" w:hAnsi="Cambria Math"/>
                        <w:sz w:val="19"/>
                        <w:szCs w:val="19"/>
                      </w:rPr>
                      <m:t>O</m:t>
                    </m:r>
                  </m:e>
                  <m:sub>
                    <m:r>
                      <m:rPr>
                        <m:sty m:val="p"/>
                      </m:rPr>
                      <w:rPr>
                        <w:rFonts w:ascii="Cambria Math" w:eastAsiaTheme="minorEastAsia" w:hAnsi="Cambria Math"/>
                        <w:sz w:val="19"/>
                        <w:szCs w:val="19"/>
                      </w:rPr>
                      <m:t>2</m:t>
                    </m:r>
                  </m:sub>
                </m:sSub>
                <m:r>
                  <m:rPr>
                    <m:sty m:val="p"/>
                  </m:rPr>
                  <w:rPr>
                    <w:rFonts w:ascii="Cambria Math" w:eastAsiaTheme="minorEastAsia" w:hAnsi="Cambria Math"/>
                    <w:sz w:val="19"/>
                    <w:szCs w:val="19"/>
                  </w:rPr>
                  <m:t xml:space="preserve">+21,66 </m:t>
                </m:r>
                <m:sSub>
                  <m:sSubPr>
                    <m:ctrlPr>
                      <w:rPr>
                        <w:rFonts w:ascii="Cambria Math" w:eastAsiaTheme="minorEastAsia" w:hAnsi="Cambria Math"/>
                        <w:iCs/>
                        <w:sz w:val="19"/>
                        <w:szCs w:val="19"/>
                        <w:lang w:val="es-ES_tradnl"/>
                      </w:rPr>
                    </m:ctrlPr>
                  </m:sSubPr>
                  <m:e>
                    <m:r>
                      <m:rPr>
                        <m:sty m:val="p"/>
                      </m:rPr>
                      <w:rPr>
                        <w:rFonts w:ascii="Cambria Math" w:eastAsiaTheme="minorEastAsia" w:hAnsi="Cambria Math"/>
                        <w:sz w:val="19"/>
                        <w:szCs w:val="19"/>
                      </w:rPr>
                      <m:t>O</m:t>
                    </m:r>
                  </m:e>
                  <m:sub>
                    <m:r>
                      <m:rPr>
                        <m:sty m:val="p"/>
                      </m:rPr>
                      <w:rPr>
                        <w:rFonts w:ascii="Cambria Math" w:eastAsiaTheme="minorEastAsia" w:hAnsi="Cambria Math"/>
                        <w:sz w:val="19"/>
                        <w:szCs w:val="19"/>
                      </w:rPr>
                      <m:t>2</m:t>
                    </m:r>
                  </m:sub>
                </m:sSub>
              </m:oMath>
            </m:oMathPara>
          </w:p>
        </w:tc>
        <w:tc>
          <w:tcPr>
            <w:tcW w:w="550" w:type="dxa"/>
            <w:vAlign w:val="center"/>
          </w:tcPr>
          <w:p w14:paraId="671302A4" w14:textId="1DF7F73B" w:rsidR="004C7930" w:rsidRPr="00BA3656" w:rsidRDefault="004C7930">
            <w:pPr>
              <w:pStyle w:val="Descripcin"/>
              <w:jc w:val="right"/>
              <w:rPr>
                <w:szCs w:val="20"/>
              </w:rPr>
            </w:pPr>
            <w:bookmarkStart w:id="26" w:name="_Ref110282152"/>
            <w:r w:rsidRPr="00BA3656">
              <w:rPr>
                <w:szCs w:val="20"/>
              </w:rPr>
              <w:t>(</w:t>
            </w:r>
            <w:r w:rsidRPr="00BA3656">
              <w:rPr>
                <w:szCs w:val="20"/>
              </w:rPr>
              <w:fldChar w:fldCharType="begin"/>
            </w:r>
            <w:r w:rsidRPr="00BA3656">
              <w:rPr>
                <w:szCs w:val="20"/>
              </w:rPr>
              <w:instrText xml:space="preserve"> SEQ Ecuación \* ARABIC </w:instrText>
            </w:r>
            <w:r w:rsidRPr="00BA3656">
              <w:rPr>
                <w:szCs w:val="20"/>
              </w:rPr>
              <w:fldChar w:fldCharType="separate"/>
            </w:r>
            <w:r w:rsidR="00D23522">
              <w:rPr>
                <w:noProof/>
                <w:szCs w:val="20"/>
              </w:rPr>
              <w:t>17</w:t>
            </w:r>
            <w:r w:rsidRPr="00BA3656">
              <w:rPr>
                <w:noProof/>
                <w:szCs w:val="20"/>
              </w:rPr>
              <w:fldChar w:fldCharType="end"/>
            </w:r>
            <w:bookmarkEnd w:id="26"/>
            <w:r w:rsidRPr="00BA3656">
              <w:rPr>
                <w:szCs w:val="20"/>
              </w:rPr>
              <w:t>)</w:t>
            </w:r>
          </w:p>
        </w:tc>
      </w:tr>
    </w:tbl>
    <w:p w14:paraId="31AEEA37" w14:textId="62F4C9D6" w:rsidR="004C74D1" w:rsidRPr="009E7134" w:rsidRDefault="004C74D1" w:rsidP="008D2287">
      <w:pPr>
        <w:rPr>
          <w:sz w:val="10"/>
          <w:szCs w:val="10"/>
        </w:rPr>
      </w:pPr>
    </w:p>
    <w:p w14:paraId="2403FA08" w14:textId="564CE1D5" w:rsidR="000B4A77" w:rsidRDefault="005C5BD8" w:rsidP="000B4A77">
      <w:r>
        <w:t>donde</w:t>
      </w:r>
      <w:r w:rsidR="0042223A">
        <w:t xml:space="preserve"> 1 kmol de RSU representa </w:t>
      </w:r>
      <w:r w:rsidR="009B133A">
        <w:t xml:space="preserve">1.426,94 kg de RSU. </w:t>
      </w:r>
      <w:r w:rsidR="000B4A77">
        <w:t xml:space="preserve">Para asegurar una incineración completa </w:t>
      </w:r>
      <w:r w:rsidR="00270DEB">
        <w:t xml:space="preserve">y evitar la formación de CO </w:t>
      </w:r>
      <w:r w:rsidR="000B4A77">
        <w:t>el exceso de aire de combustión</w:t>
      </w:r>
      <w:r w:rsidR="00DF16A6">
        <w:t xml:space="preserve"> (</w:t>
      </w:r>
      <w:r w:rsidR="00DF16A6" w:rsidRPr="00DF16A6">
        <w:rPr>
          <w:rFonts w:cs="Times New Roman"/>
        </w:rPr>
        <w:t>λ</w:t>
      </w:r>
      <w:r w:rsidR="00DF16A6">
        <w:t>)</w:t>
      </w:r>
      <w:r w:rsidR="000B4A77">
        <w:t xml:space="preserve"> debe ser mayor que el requerido en una reacción estequiométrica</w:t>
      </w:r>
      <w:r w:rsidR="00DF16A6">
        <w:t xml:space="preserve"> (</w:t>
      </w:r>
      <w:r w:rsidR="00DF16A6" w:rsidRPr="00DF16A6">
        <w:rPr>
          <w:rFonts w:cs="Times New Roman"/>
        </w:rPr>
        <w:t>λ</w:t>
      </w:r>
      <w:r w:rsidR="00DF16A6">
        <w:rPr>
          <w:rFonts w:cs="Times New Roman"/>
        </w:rPr>
        <w:t xml:space="preserve"> </w:t>
      </w:r>
      <w:r w:rsidR="00DF16A6" w:rsidRPr="00DF16A6">
        <w:rPr>
          <w:rFonts w:cs="Times New Roman"/>
        </w:rPr>
        <w:t>&gt;</w:t>
      </w:r>
      <w:r w:rsidR="00DF16A6">
        <w:rPr>
          <w:rFonts w:cs="Times New Roman"/>
        </w:rPr>
        <w:t xml:space="preserve"> </w:t>
      </w:r>
      <w:r w:rsidR="00DF16A6" w:rsidRPr="00DF16A6">
        <w:rPr>
          <w:rFonts w:cs="Times New Roman"/>
        </w:rPr>
        <w:t>1</w:t>
      </w:r>
      <w:r w:rsidR="00DF16A6">
        <w:t>)</w:t>
      </w:r>
      <w:r w:rsidR="000B4A77">
        <w:t xml:space="preserve">, </w:t>
      </w:r>
      <w:r w:rsidR="007050CD">
        <w:t xml:space="preserve">recomendándose </w:t>
      </w:r>
      <w:r w:rsidR="00902FDF">
        <w:t>en una proporción de entre 1</w:t>
      </w:r>
      <w:r w:rsidR="0080712A">
        <w:t>,39 y</w:t>
      </w:r>
      <w:r w:rsidR="00902FDF">
        <w:t xml:space="preserve"> </w:t>
      </w:r>
      <w:r w:rsidR="00444E94">
        <w:t xml:space="preserve">1,9 </w:t>
      </w:r>
      <w:r w:rsidR="00F121FC">
        <w:t>[19]</w:t>
      </w:r>
      <w:r w:rsidR="00444E94">
        <w:t xml:space="preserve"> </w:t>
      </w:r>
      <w:r w:rsidR="000B4A77">
        <w:t xml:space="preserve">y </w:t>
      </w:r>
      <w:r w:rsidR="000B3DC1">
        <w:t xml:space="preserve">que, </w:t>
      </w:r>
      <w:r w:rsidR="000B4A77">
        <w:t>a su vez, minimi</w:t>
      </w:r>
      <w:r w:rsidR="000B3DC1">
        <w:t xml:space="preserve">ce </w:t>
      </w:r>
      <w:r w:rsidR="000B4A77">
        <w:t xml:space="preserve">las pérdidas energéticas en la chimenea. Un 6% de contenido de oxígeno en la corriente de los gases puede proporcionar una eficiencia de hasta 81% en la caldera </w:t>
      </w:r>
      <w:r w:rsidR="00F121FC">
        <w:t>[31]</w:t>
      </w:r>
      <w:r w:rsidR="000B4A77">
        <w:t xml:space="preserve">. </w:t>
      </w:r>
      <w:r w:rsidR="0044728A">
        <w:t xml:space="preserve">No obstante, </w:t>
      </w:r>
      <w:r w:rsidR="00720F99">
        <w:t xml:space="preserve">un </w:t>
      </w:r>
      <w:r w:rsidR="009774E4">
        <w:t>sobre exceso</w:t>
      </w:r>
      <w:r w:rsidR="00720F99">
        <w:t xml:space="preserve"> de aire puede resultar en una oxidación adicional </w:t>
      </w:r>
      <w:r w:rsidR="00BE17F9">
        <w:t>del nitrógeno atmosférico y generar más cantidad de NO</w:t>
      </w:r>
      <w:r w:rsidR="00BE17F9" w:rsidRPr="00EA6EDE">
        <w:rPr>
          <w:vertAlign w:val="subscript"/>
        </w:rPr>
        <w:t>x</w:t>
      </w:r>
      <w:r w:rsidR="00BE17F9">
        <w:t xml:space="preserve">. </w:t>
      </w:r>
      <w:r w:rsidR="00D2338A">
        <w:t xml:space="preserve">Adicionalmente, </w:t>
      </w:r>
      <w:r w:rsidR="00E63D5C">
        <w:t>elevados gradientes de temperatura</w:t>
      </w:r>
      <w:r w:rsidR="00374CC4">
        <w:t xml:space="preserve"> que resultan en las zonas de mayor temperatura </w:t>
      </w:r>
      <w:r w:rsidR="00381D1A">
        <w:t xml:space="preserve">también </w:t>
      </w:r>
      <w:r w:rsidR="00263EAA">
        <w:t>originan</w:t>
      </w:r>
      <w:r w:rsidR="00CC002E">
        <w:t xml:space="preserve"> la formación de NO</w:t>
      </w:r>
      <w:r w:rsidR="00CC002E" w:rsidRPr="00EA6EDE">
        <w:rPr>
          <w:vertAlign w:val="subscript"/>
        </w:rPr>
        <w:t>x</w:t>
      </w:r>
      <w:r w:rsidR="00381D1A">
        <w:t xml:space="preserve">. </w:t>
      </w:r>
      <w:r w:rsidR="002942DE">
        <w:t>De tal manera</w:t>
      </w:r>
      <w:r w:rsidR="00F25DC5">
        <w:t xml:space="preserve"> que una medida</w:t>
      </w:r>
      <w:r w:rsidR="00B1695F">
        <w:t xml:space="preserve"> primaria </w:t>
      </w:r>
      <w:r w:rsidR="0016232A">
        <w:t>consist</w:t>
      </w:r>
      <w:r w:rsidR="00ED6BF7">
        <w:t>iría</w:t>
      </w:r>
      <w:r w:rsidR="0016232A">
        <w:t xml:space="preserve"> en un suministro de aire</w:t>
      </w:r>
      <w:r w:rsidR="00E20152">
        <w:t xml:space="preserve"> precalentado</w:t>
      </w:r>
      <w:r w:rsidR="00876D05">
        <w:t xml:space="preserve"> </w:t>
      </w:r>
      <w:r w:rsidR="00876D05">
        <w:rPr>
          <w:rFonts w:eastAsiaTheme="minorEastAsia"/>
        </w:rPr>
        <w:t>ya que no sólo ayuda</w:t>
      </w:r>
      <w:r w:rsidR="00ED6BF7">
        <w:rPr>
          <w:rFonts w:eastAsiaTheme="minorEastAsia"/>
        </w:rPr>
        <w:t>ría</w:t>
      </w:r>
      <w:r w:rsidR="00876D05">
        <w:rPr>
          <w:rFonts w:eastAsiaTheme="minorEastAsia"/>
        </w:rPr>
        <w:t xml:space="preserve"> al secado de los residuos, sino que favorece</w:t>
      </w:r>
      <w:r w:rsidR="00ED6BF7">
        <w:rPr>
          <w:rFonts w:eastAsiaTheme="minorEastAsia"/>
        </w:rPr>
        <w:t>ría</w:t>
      </w:r>
      <w:r w:rsidR="00876D05">
        <w:rPr>
          <w:rFonts w:eastAsiaTheme="minorEastAsia"/>
        </w:rPr>
        <w:t xml:space="preserve"> la ignición y dismin</w:t>
      </w:r>
      <w:r w:rsidR="00ED6BF7">
        <w:rPr>
          <w:rFonts w:eastAsiaTheme="minorEastAsia"/>
        </w:rPr>
        <w:t>uiría</w:t>
      </w:r>
      <w:r w:rsidR="00876D05">
        <w:rPr>
          <w:rFonts w:eastAsiaTheme="minorEastAsia"/>
        </w:rPr>
        <w:t xml:space="preserve"> el tiempo de combustió</w:t>
      </w:r>
      <w:r w:rsidR="000D560A">
        <w:rPr>
          <w:rFonts w:eastAsiaTheme="minorEastAsia"/>
        </w:rPr>
        <w:t xml:space="preserve">n </w:t>
      </w:r>
      <w:r w:rsidR="00F121FC">
        <w:rPr>
          <w:rFonts w:eastAsiaTheme="minorEastAsia"/>
        </w:rPr>
        <w:t>[33]</w:t>
      </w:r>
      <w:r w:rsidR="000D560A">
        <w:rPr>
          <w:rFonts w:eastAsiaTheme="minorEastAsia"/>
        </w:rPr>
        <w:t>.</w:t>
      </w:r>
      <w:r w:rsidR="00DB4C33">
        <w:t xml:space="preserve"> </w:t>
      </w:r>
      <w:r w:rsidR="006F72BA">
        <w:rPr>
          <w:rFonts w:eastAsiaTheme="minorEastAsia"/>
        </w:rPr>
        <w:t xml:space="preserve">Los gases de combustión, a una temperatura mínima de 850°C, fluyen hacia el sistema de recuperación de calor donde transfieren parte de su energía calorífica al generador de vapor, el cual aprovecha el calor sensible del agua para la producción de vapor sobrecalentado. A continuación, los gases </w:t>
      </w:r>
      <w:r w:rsidR="005B12D6">
        <w:rPr>
          <w:rFonts w:eastAsiaTheme="minorEastAsia"/>
        </w:rPr>
        <w:t>deben ser</w:t>
      </w:r>
      <w:r w:rsidR="006F72BA">
        <w:rPr>
          <w:rFonts w:eastAsiaTheme="minorEastAsia"/>
        </w:rPr>
        <w:t xml:space="preserve"> depurados </w:t>
      </w:r>
      <w:r w:rsidR="000E0955">
        <w:rPr>
          <w:rFonts w:eastAsiaTheme="minorEastAsia"/>
        </w:rPr>
        <w:t xml:space="preserve">en un sistema de </w:t>
      </w:r>
      <w:r w:rsidR="005831C8">
        <w:rPr>
          <w:rFonts w:eastAsiaTheme="minorEastAsia"/>
        </w:rPr>
        <w:t>limpieza, LGC,</w:t>
      </w:r>
      <w:r w:rsidR="000E0955">
        <w:rPr>
          <w:rFonts w:eastAsiaTheme="minorEastAsia"/>
        </w:rPr>
        <w:t xml:space="preserve"> </w:t>
      </w:r>
      <w:r w:rsidR="005B12D6">
        <w:rPr>
          <w:rFonts w:eastAsiaTheme="minorEastAsia"/>
        </w:rPr>
        <w:t xml:space="preserve">antes de su </w:t>
      </w:r>
      <w:r w:rsidR="00F1568A">
        <w:rPr>
          <w:rFonts w:eastAsiaTheme="minorEastAsia"/>
        </w:rPr>
        <w:t>expulsión al exterior.</w:t>
      </w:r>
    </w:p>
    <w:p w14:paraId="16032B97" w14:textId="7E451BA9" w:rsidR="000C0A54" w:rsidRPr="000C0A54" w:rsidRDefault="00BF6500" w:rsidP="00BC41BE">
      <w:pPr>
        <w:pStyle w:val="Ttulo3"/>
      </w:pPr>
      <w:r>
        <w:t>Limpieza</w:t>
      </w:r>
      <w:r w:rsidR="000C0A54">
        <w:t xml:space="preserve"> </w:t>
      </w:r>
      <w:r w:rsidR="00BC41BE">
        <w:t>de gases de combustión</w:t>
      </w:r>
      <w:r w:rsidR="00481F2D">
        <w:t xml:space="preserve">, </w:t>
      </w:r>
      <w:r>
        <w:t>LGC</w:t>
      </w:r>
    </w:p>
    <w:p w14:paraId="1F835FA3" w14:textId="6EE934F8" w:rsidR="00036D1F" w:rsidRDefault="001A4B56" w:rsidP="00927E2E">
      <w:r>
        <w:t>Los gases de combustión</w:t>
      </w:r>
      <w:r w:rsidR="00575997">
        <w:t xml:space="preserve"> </w:t>
      </w:r>
      <w:r w:rsidR="00DB39D3">
        <w:t xml:space="preserve">deben ser tratados para reducir </w:t>
      </w:r>
      <w:r w:rsidR="00885CA3">
        <w:t>las concentraciones de</w:t>
      </w:r>
      <w:r w:rsidR="00DB39D3">
        <w:t xml:space="preserve"> contaminantes hasta valores inferiores a los establecidos en las normas medioambientales. </w:t>
      </w:r>
      <w:r w:rsidR="003621E1">
        <w:t>Para ello</w:t>
      </w:r>
      <w:r w:rsidR="00555F2A">
        <w:t xml:space="preserve">, los sistemas de </w:t>
      </w:r>
      <w:r w:rsidR="00BF6500">
        <w:t>limpieza</w:t>
      </w:r>
      <w:r w:rsidR="00555F2A">
        <w:t xml:space="preserve"> de gases, </w:t>
      </w:r>
      <w:r w:rsidR="00F835D8">
        <w:t>LGC</w:t>
      </w:r>
      <w:r w:rsidR="00555F2A">
        <w:t xml:space="preserve">, </w:t>
      </w:r>
      <w:r w:rsidR="003621E1">
        <w:t>dispone</w:t>
      </w:r>
      <w:r w:rsidR="00555F2A">
        <w:t>n</w:t>
      </w:r>
      <w:r w:rsidR="003621E1">
        <w:t xml:space="preserve"> de una variedad de equipos y componentes que se pueden combinar </w:t>
      </w:r>
      <w:r w:rsidR="00C87DE1">
        <w:t>en función de procesos de limpieza húmedos, semi húmedos o secos</w:t>
      </w:r>
      <w:r w:rsidR="009430DC">
        <w:t xml:space="preserve"> por medio de los cuales</w:t>
      </w:r>
      <w:r w:rsidR="00555F2A">
        <w:t>,</w:t>
      </w:r>
      <w:r w:rsidR="009430DC">
        <w:t xml:space="preserve"> se aplican técnicas de reducción de emisiones de cenizas </w:t>
      </w:r>
      <w:r w:rsidR="00786FAD">
        <w:t xml:space="preserve">volátiles </w:t>
      </w:r>
      <w:r w:rsidR="009430DC">
        <w:t xml:space="preserve">y polvo, de componentes ácidos como HCl, </w:t>
      </w:r>
      <w:r w:rsidR="0028364A">
        <w:t xml:space="preserve">HBr, </w:t>
      </w:r>
      <w:r w:rsidR="009430DC">
        <w:t xml:space="preserve">HF, </w:t>
      </w:r>
      <w:r w:rsidR="001A5993">
        <w:t xml:space="preserve">de óxidos de azufre, </w:t>
      </w:r>
      <w:r w:rsidR="009430DC">
        <w:t>S</w:t>
      </w:r>
      <w:r w:rsidR="004001A5">
        <w:t>O</w:t>
      </w:r>
      <w:r w:rsidR="004001A5" w:rsidRPr="004B2B07">
        <w:rPr>
          <w:vertAlign w:val="subscript"/>
        </w:rPr>
        <w:t>x</w:t>
      </w:r>
      <w:r w:rsidR="004001A5">
        <w:t xml:space="preserve">, </w:t>
      </w:r>
      <w:r w:rsidR="00BB636F">
        <w:t xml:space="preserve">y </w:t>
      </w:r>
      <w:r w:rsidR="004001A5">
        <w:t xml:space="preserve">de emisiones de óxidos de nitrógeno, </w:t>
      </w:r>
      <w:r w:rsidR="00453269">
        <w:t>NO</w:t>
      </w:r>
      <w:r w:rsidR="00453269" w:rsidRPr="00BB636F">
        <w:rPr>
          <w:vertAlign w:val="subscript"/>
        </w:rPr>
        <w:t>x</w:t>
      </w:r>
      <w:r w:rsidR="00453269">
        <w:t xml:space="preserve">, </w:t>
      </w:r>
      <w:r w:rsidR="004001A5">
        <w:t>de mercurio y otros metales</w:t>
      </w:r>
      <w:r w:rsidR="00555F2A">
        <w:t xml:space="preserve"> y</w:t>
      </w:r>
      <w:r w:rsidR="004001A5">
        <w:t xml:space="preserve"> de compuestos orgánicos de carbono </w:t>
      </w:r>
      <w:r w:rsidR="008A3541">
        <w:t>[28]</w:t>
      </w:r>
      <w:r w:rsidR="00C3037D">
        <w:t xml:space="preserve">. </w:t>
      </w:r>
    </w:p>
    <w:p w14:paraId="03A1F92C" w14:textId="1101A0E5" w:rsidR="00C3037D" w:rsidRDefault="00C3037D" w:rsidP="00927E2E">
      <w:r>
        <w:t xml:space="preserve">La </w:t>
      </w:r>
      <w:r>
        <w:fldChar w:fldCharType="begin"/>
      </w:r>
      <w:r>
        <w:instrText xml:space="preserve"> REF _Ref110699551 \h </w:instrText>
      </w:r>
      <w:r>
        <w:fldChar w:fldCharType="separate"/>
      </w:r>
      <w:r>
        <w:t xml:space="preserve">Tabla </w:t>
      </w:r>
      <w:r>
        <w:rPr>
          <w:noProof/>
        </w:rPr>
        <w:t>7</w:t>
      </w:r>
      <w:r>
        <w:fldChar w:fldCharType="end"/>
      </w:r>
      <w:r>
        <w:t xml:space="preserve"> compara los valores típicos de elementos contaminantes que las corrientes de gases de combustión de residuos a la salida del horno de </w:t>
      </w:r>
      <w:r>
        <w:t>incineración suelen aportar, y los límites según la legislación chilena y de la Unión Europea.</w:t>
      </w:r>
    </w:p>
    <w:p w14:paraId="6D04C1D3" w14:textId="77777777" w:rsidR="00036D1F" w:rsidRPr="00680887" w:rsidRDefault="00036D1F" w:rsidP="00167374">
      <w:pPr>
        <w:pStyle w:val="TablaTtulo"/>
        <w:spacing w:after="200"/>
        <w:rPr>
          <w:sz w:val="18"/>
          <w:szCs w:val="16"/>
        </w:rPr>
      </w:pPr>
      <w:bookmarkStart w:id="27" w:name="_Ref110699551"/>
      <w:r w:rsidRPr="00680887">
        <w:rPr>
          <w:sz w:val="18"/>
          <w:szCs w:val="16"/>
        </w:rPr>
        <w:t xml:space="preserve">Tabla </w:t>
      </w:r>
      <w:r w:rsidRPr="00680887">
        <w:rPr>
          <w:sz w:val="18"/>
          <w:szCs w:val="16"/>
        </w:rPr>
        <w:fldChar w:fldCharType="begin"/>
      </w:r>
      <w:r w:rsidRPr="00680887">
        <w:rPr>
          <w:sz w:val="18"/>
          <w:szCs w:val="16"/>
        </w:rPr>
        <w:instrText xml:space="preserve"> SEQ Tabla \* ARABIC </w:instrText>
      </w:r>
      <w:r w:rsidRPr="00680887">
        <w:rPr>
          <w:sz w:val="18"/>
          <w:szCs w:val="16"/>
        </w:rPr>
        <w:fldChar w:fldCharType="separate"/>
      </w:r>
      <w:r w:rsidRPr="00680887">
        <w:rPr>
          <w:noProof/>
          <w:sz w:val="18"/>
          <w:szCs w:val="16"/>
        </w:rPr>
        <w:t>7</w:t>
      </w:r>
      <w:r w:rsidRPr="00680887">
        <w:rPr>
          <w:sz w:val="18"/>
          <w:szCs w:val="16"/>
        </w:rPr>
        <w:fldChar w:fldCharType="end"/>
      </w:r>
      <w:bookmarkEnd w:id="27"/>
      <w:r w:rsidRPr="00680887">
        <w:rPr>
          <w:sz w:val="18"/>
          <w:szCs w:val="16"/>
        </w:rPr>
        <w:t xml:space="preserve"> Rangos de concentración de componentes de gases de combustión (normativa chilena y de la Unión Europea</w:t>
      </w:r>
      <w:r>
        <w:rPr>
          <w:sz w:val="18"/>
          <w:szCs w:val="16"/>
        </w:rPr>
        <w:t>, promedios diarios</w:t>
      </w:r>
      <w:r w:rsidRPr="00680887">
        <w:rPr>
          <w:sz w:val="18"/>
          <w:szCs w:val="16"/>
        </w:rPr>
        <w:t>)</w:t>
      </w:r>
      <w:r>
        <w:rPr>
          <w:sz w:val="18"/>
          <w:szCs w:val="16"/>
        </w:rPr>
        <w:t>.</w:t>
      </w:r>
    </w:p>
    <w:tbl>
      <w:tblPr>
        <w:tblStyle w:val="Tablaconcuadrcula"/>
        <w:tblW w:w="4390" w:type="dxa"/>
        <w:jc w:val="center"/>
        <w:tblLook w:val="04A0" w:firstRow="1" w:lastRow="0" w:firstColumn="1" w:lastColumn="0" w:noHBand="0" w:noVBand="1"/>
      </w:tblPr>
      <w:tblGrid>
        <w:gridCol w:w="1239"/>
        <w:gridCol w:w="1166"/>
        <w:gridCol w:w="802"/>
        <w:gridCol w:w="1183"/>
      </w:tblGrid>
      <w:tr w:rsidR="00036D1F" w14:paraId="19D13F23" w14:textId="77777777" w:rsidTr="00167374">
        <w:trPr>
          <w:trHeight w:val="283"/>
          <w:jc w:val="center"/>
        </w:trPr>
        <w:tc>
          <w:tcPr>
            <w:tcW w:w="1239" w:type="dxa"/>
            <w:tcBorders>
              <w:left w:val="single" w:sz="4" w:space="0" w:color="auto"/>
              <w:right w:val="single" w:sz="4" w:space="0" w:color="auto"/>
            </w:tcBorders>
            <w:shd w:val="clear" w:color="auto" w:fill="E7E6E6" w:themeFill="background2"/>
            <w:vAlign w:val="center"/>
          </w:tcPr>
          <w:p w14:paraId="6A8CA96C" w14:textId="77777777" w:rsidR="00036D1F" w:rsidRPr="00521D6C" w:rsidRDefault="00036D1F" w:rsidP="00797996">
            <w:pPr>
              <w:jc w:val="center"/>
              <w:rPr>
                <w:noProof/>
                <w:lang w:eastAsia="es-CO"/>
              </w:rPr>
            </w:pPr>
            <w:r w:rsidRPr="00521D6C">
              <w:rPr>
                <w:noProof/>
                <w:lang w:eastAsia="es-CO"/>
              </w:rPr>
              <w:t>Componente</w:t>
            </w:r>
          </w:p>
        </w:tc>
        <w:tc>
          <w:tcPr>
            <w:tcW w:w="1166" w:type="dxa"/>
            <w:tcBorders>
              <w:left w:val="single" w:sz="4" w:space="0" w:color="auto"/>
              <w:right w:val="single" w:sz="4" w:space="0" w:color="auto"/>
            </w:tcBorders>
            <w:shd w:val="clear" w:color="auto" w:fill="E7E6E6" w:themeFill="background2"/>
            <w:vAlign w:val="center"/>
          </w:tcPr>
          <w:p w14:paraId="5CC2D997" w14:textId="059C382D" w:rsidR="00036D1F" w:rsidRPr="00521D6C" w:rsidRDefault="00036D1F" w:rsidP="00096B7B">
            <w:pPr>
              <w:jc w:val="center"/>
            </w:pPr>
            <w:r w:rsidRPr="00521D6C">
              <w:rPr>
                <w:noProof/>
                <w:lang w:eastAsia="es-CO"/>
              </w:rPr>
              <w:t>Valor típico</w:t>
            </w:r>
            <w:r w:rsidRPr="00521D6C">
              <w:rPr>
                <w:noProof/>
                <w:vertAlign w:val="superscript"/>
                <w:lang w:eastAsia="es-CO"/>
              </w:rPr>
              <w:t>a</w:t>
            </w:r>
            <w:r w:rsidRPr="00521D6C">
              <w:t xml:space="preserve"> </w:t>
            </w:r>
            <w:r w:rsidR="008A3541" w:rsidRPr="00521D6C">
              <w:t>[34]</w:t>
            </w:r>
          </w:p>
        </w:tc>
        <w:tc>
          <w:tcPr>
            <w:tcW w:w="802" w:type="dxa"/>
            <w:tcBorders>
              <w:left w:val="single" w:sz="4" w:space="0" w:color="auto"/>
              <w:right w:val="single" w:sz="4" w:space="0" w:color="auto"/>
            </w:tcBorders>
            <w:shd w:val="clear" w:color="auto" w:fill="E7E6E6" w:themeFill="background2"/>
            <w:vAlign w:val="center"/>
          </w:tcPr>
          <w:p w14:paraId="3A2256E3" w14:textId="58C0258B" w:rsidR="00036D1F" w:rsidRPr="00521D6C" w:rsidRDefault="00036D1F" w:rsidP="00797996">
            <w:pPr>
              <w:jc w:val="center"/>
            </w:pPr>
            <w:r w:rsidRPr="00521D6C">
              <w:rPr>
                <w:noProof/>
                <w:lang w:eastAsia="es-CO"/>
              </w:rPr>
              <w:t>Chile</w:t>
            </w:r>
            <w:r w:rsidRPr="00521D6C">
              <w:rPr>
                <w:noProof/>
                <w:vertAlign w:val="superscript"/>
                <w:lang w:eastAsia="es-CO"/>
              </w:rPr>
              <w:t>b</w:t>
            </w:r>
            <w:r w:rsidRPr="00521D6C">
              <w:t xml:space="preserve"> </w:t>
            </w:r>
            <w:r w:rsidR="00096B7B" w:rsidRPr="00521D6C">
              <w:t>[35]</w:t>
            </w:r>
          </w:p>
        </w:tc>
        <w:tc>
          <w:tcPr>
            <w:tcW w:w="1183" w:type="dxa"/>
            <w:tcBorders>
              <w:left w:val="single" w:sz="4" w:space="0" w:color="auto"/>
              <w:right w:val="single" w:sz="4" w:space="0" w:color="auto"/>
            </w:tcBorders>
            <w:shd w:val="clear" w:color="auto" w:fill="E7E6E6" w:themeFill="background2"/>
            <w:vAlign w:val="center"/>
          </w:tcPr>
          <w:p w14:paraId="526C24EB" w14:textId="4205AE2F" w:rsidR="00036D1F" w:rsidRPr="00521D6C" w:rsidRDefault="00036D1F" w:rsidP="00797996">
            <w:pPr>
              <w:jc w:val="center"/>
            </w:pPr>
            <w:r w:rsidRPr="00521D6C">
              <w:rPr>
                <w:noProof/>
                <w:lang w:eastAsia="es-CO"/>
              </w:rPr>
              <w:t>UE</w:t>
            </w:r>
            <w:r w:rsidRPr="00521D6C">
              <w:rPr>
                <w:noProof/>
                <w:vertAlign w:val="superscript"/>
                <w:lang w:eastAsia="es-CO"/>
              </w:rPr>
              <w:t>c</w:t>
            </w:r>
            <w:r w:rsidRPr="00521D6C">
              <w:t xml:space="preserve"> </w:t>
            </w:r>
            <w:r w:rsidR="00095302" w:rsidRPr="00521D6C">
              <w:t>[36]</w:t>
            </w:r>
          </w:p>
        </w:tc>
      </w:tr>
      <w:tr w:rsidR="00036D1F" w14:paraId="36397DA0" w14:textId="77777777" w:rsidTr="00167374">
        <w:trPr>
          <w:trHeight w:val="113"/>
          <w:jc w:val="center"/>
        </w:trPr>
        <w:tc>
          <w:tcPr>
            <w:tcW w:w="1239" w:type="dxa"/>
            <w:tcBorders>
              <w:left w:val="single" w:sz="4" w:space="0" w:color="auto"/>
              <w:right w:val="single" w:sz="4" w:space="0" w:color="auto"/>
            </w:tcBorders>
            <w:shd w:val="clear" w:color="auto" w:fill="auto"/>
          </w:tcPr>
          <w:p w14:paraId="0B6FED8C" w14:textId="77777777" w:rsidR="00036D1F" w:rsidRDefault="00036D1F" w:rsidP="00797996">
            <w:pPr>
              <w:rPr>
                <w:noProof/>
                <w:lang w:eastAsia="es-CO"/>
              </w:rPr>
            </w:pPr>
            <w:r>
              <w:rPr>
                <w:noProof/>
                <w:lang w:eastAsia="es-CO"/>
              </w:rPr>
              <w:t>CO</w:t>
            </w:r>
          </w:p>
        </w:tc>
        <w:tc>
          <w:tcPr>
            <w:tcW w:w="1166" w:type="dxa"/>
            <w:tcBorders>
              <w:left w:val="single" w:sz="4" w:space="0" w:color="auto"/>
              <w:right w:val="single" w:sz="4" w:space="0" w:color="auto"/>
            </w:tcBorders>
            <w:shd w:val="clear" w:color="auto" w:fill="auto"/>
          </w:tcPr>
          <w:p w14:paraId="5FF8C071" w14:textId="77777777" w:rsidR="00036D1F" w:rsidRPr="002E540F" w:rsidRDefault="00036D1F" w:rsidP="00797996">
            <w:pPr>
              <w:rPr>
                <w:noProof/>
                <w:lang w:eastAsia="es-CO"/>
              </w:rPr>
            </w:pPr>
            <w:r>
              <w:rPr>
                <w:noProof/>
                <w:lang w:eastAsia="es-CO"/>
              </w:rPr>
              <w:t>&lt;10-30</w:t>
            </w:r>
          </w:p>
        </w:tc>
        <w:tc>
          <w:tcPr>
            <w:tcW w:w="802" w:type="dxa"/>
            <w:tcBorders>
              <w:left w:val="single" w:sz="4" w:space="0" w:color="auto"/>
              <w:right w:val="single" w:sz="4" w:space="0" w:color="auto"/>
            </w:tcBorders>
            <w:shd w:val="clear" w:color="auto" w:fill="auto"/>
          </w:tcPr>
          <w:p w14:paraId="64FB8BCF" w14:textId="77777777" w:rsidR="00036D1F" w:rsidRPr="002E540F" w:rsidRDefault="00036D1F" w:rsidP="00797996">
            <w:pPr>
              <w:rPr>
                <w:noProof/>
                <w:lang w:eastAsia="es-CO"/>
              </w:rPr>
            </w:pPr>
            <w:r>
              <w:rPr>
                <w:noProof/>
                <w:lang w:eastAsia="es-CO"/>
              </w:rPr>
              <w:t>50</w:t>
            </w:r>
          </w:p>
        </w:tc>
        <w:tc>
          <w:tcPr>
            <w:tcW w:w="1183" w:type="dxa"/>
            <w:tcBorders>
              <w:left w:val="single" w:sz="4" w:space="0" w:color="auto"/>
              <w:right w:val="single" w:sz="4" w:space="0" w:color="auto"/>
            </w:tcBorders>
            <w:shd w:val="clear" w:color="auto" w:fill="auto"/>
          </w:tcPr>
          <w:p w14:paraId="212F7F75" w14:textId="77777777" w:rsidR="00036D1F" w:rsidRPr="002E540F" w:rsidRDefault="00036D1F" w:rsidP="00797996">
            <w:pPr>
              <w:rPr>
                <w:noProof/>
                <w:lang w:eastAsia="es-CO"/>
              </w:rPr>
            </w:pPr>
            <w:r>
              <w:rPr>
                <w:noProof/>
                <w:lang w:eastAsia="es-CO"/>
              </w:rPr>
              <w:t>10-50</w:t>
            </w:r>
          </w:p>
        </w:tc>
      </w:tr>
      <w:tr w:rsidR="00036D1F" w14:paraId="27341C1D" w14:textId="77777777" w:rsidTr="00167374">
        <w:trPr>
          <w:trHeight w:val="113"/>
          <w:jc w:val="center"/>
        </w:trPr>
        <w:tc>
          <w:tcPr>
            <w:tcW w:w="1239" w:type="dxa"/>
            <w:tcBorders>
              <w:left w:val="single" w:sz="4" w:space="0" w:color="auto"/>
              <w:right w:val="single" w:sz="4" w:space="0" w:color="auto"/>
            </w:tcBorders>
            <w:shd w:val="clear" w:color="auto" w:fill="auto"/>
          </w:tcPr>
          <w:p w14:paraId="56953FF6" w14:textId="77777777" w:rsidR="00036D1F" w:rsidRDefault="00036D1F" w:rsidP="00797996">
            <w:pPr>
              <w:rPr>
                <w:noProof/>
                <w:lang w:eastAsia="es-CO"/>
              </w:rPr>
            </w:pPr>
            <w:r>
              <w:rPr>
                <w:noProof/>
                <w:lang w:eastAsia="es-CO"/>
              </w:rPr>
              <w:t>COVT</w:t>
            </w:r>
          </w:p>
        </w:tc>
        <w:tc>
          <w:tcPr>
            <w:tcW w:w="1166" w:type="dxa"/>
            <w:tcBorders>
              <w:left w:val="single" w:sz="4" w:space="0" w:color="auto"/>
              <w:right w:val="single" w:sz="4" w:space="0" w:color="auto"/>
            </w:tcBorders>
            <w:shd w:val="clear" w:color="auto" w:fill="auto"/>
          </w:tcPr>
          <w:p w14:paraId="36C39C3B" w14:textId="77777777" w:rsidR="00036D1F" w:rsidRPr="002E540F" w:rsidRDefault="00036D1F" w:rsidP="00797996">
            <w:pPr>
              <w:rPr>
                <w:noProof/>
                <w:lang w:eastAsia="es-CO"/>
              </w:rPr>
            </w:pPr>
            <w:r>
              <w:rPr>
                <w:noProof/>
                <w:lang w:eastAsia="es-CO"/>
              </w:rPr>
              <w:t>1-10</w:t>
            </w:r>
          </w:p>
        </w:tc>
        <w:tc>
          <w:tcPr>
            <w:tcW w:w="802" w:type="dxa"/>
            <w:tcBorders>
              <w:left w:val="single" w:sz="4" w:space="0" w:color="auto"/>
              <w:right w:val="single" w:sz="4" w:space="0" w:color="auto"/>
            </w:tcBorders>
            <w:shd w:val="clear" w:color="auto" w:fill="auto"/>
          </w:tcPr>
          <w:p w14:paraId="094D5170" w14:textId="77777777" w:rsidR="00036D1F" w:rsidRPr="002E540F" w:rsidRDefault="00036D1F" w:rsidP="00797996">
            <w:pPr>
              <w:rPr>
                <w:noProof/>
                <w:lang w:eastAsia="es-CO"/>
              </w:rPr>
            </w:pPr>
            <w:r>
              <w:rPr>
                <w:noProof/>
                <w:lang w:eastAsia="es-CO"/>
              </w:rPr>
              <w:t>20</w:t>
            </w:r>
          </w:p>
        </w:tc>
        <w:tc>
          <w:tcPr>
            <w:tcW w:w="1183" w:type="dxa"/>
            <w:tcBorders>
              <w:left w:val="single" w:sz="4" w:space="0" w:color="auto"/>
              <w:right w:val="single" w:sz="4" w:space="0" w:color="auto"/>
            </w:tcBorders>
            <w:shd w:val="clear" w:color="auto" w:fill="auto"/>
          </w:tcPr>
          <w:p w14:paraId="7639EC88" w14:textId="77777777" w:rsidR="00036D1F" w:rsidRPr="002E540F" w:rsidRDefault="00036D1F" w:rsidP="00797996">
            <w:pPr>
              <w:rPr>
                <w:noProof/>
                <w:lang w:eastAsia="es-CO"/>
              </w:rPr>
            </w:pPr>
            <w:r>
              <w:rPr>
                <w:noProof/>
                <w:lang w:eastAsia="es-CO"/>
              </w:rPr>
              <w:t>3-10</w:t>
            </w:r>
          </w:p>
        </w:tc>
      </w:tr>
      <w:tr w:rsidR="00036D1F" w14:paraId="09058BAC" w14:textId="77777777" w:rsidTr="00167374">
        <w:trPr>
          <w:trHeight w:val="113"/>
          <w:jc w:val="center"/>
        </w:trPr>
        <w:tc>
          <w:tcPr>
            <w:tcW w:w="1239" w:type="dxa"/>
            <w:tcBorders>
              <w:left w:val="single" w:sz="4" w:space="0" w:color="auto"/>
              <w:right w:val="single" w:sz="4" w:space="0" w:color="auto"/>
            </w:tcBorders>
            <w:shd w:val="clear" w:color="auto" w:fill="auto"/>
          </w:tcPr>
          <w:p w14:paraId="15273E02" w14:textId="77777777" w:rsidR="00036D1F" w:rsidRDefault="00036D1F" w:rsidP="00797996">
            <w:pPr>
              <w:rPr>
                <w:noProof/>
                <w:lang w:eastAsia="es-CO"/>
              </w:rPr>
            </w:pPr>
            <w:r>
              <w:rPr>
                <w:noProof/>
                <w:lang w:eastAsia="es-CO"/>
              </w:rPr>
              <w:t>Cenizas</w:t>
            </w:r>
          </w:p>
        </w:tc>
        <w:tc>
          <w:tcPr>
            <w:tcW w:w="1166" w:type="dxa"/>
            <w:tcBorders>
              <w:left w:val="single" w:sz="4" w:space="0" w:color="auto"/>
              <w:right w:val="single" w:sz="4" w:space="0" w:color="auto"/>
            </w:tcBorders>
            <w:shd w:val="clear" w:color="auto" w:fill="auto"/>
          </w:tcPr>
          <w:p w14:paraId="1D82926B" w14:textId="77777777" w:rsidR="00036D1F" w:rsidRPr="002E540F" w:rsidRDefault="00036D1F" w:rsidP="00797996">
            <w:pPr>
              <w:rPr>
                <w:noProof/>
                <w:lang w:eastAsia="es-CO"/>
              </w:rPr>
            </w:pPr>
            <w:r>
              <w:rPr>
                <w:noProof/>
                <w:lang w:eastAsia="es-CO"/>
              </w:rPr>
              <w:t>1000-5000</w:t>
            </w:r>
          </w:p>
        </w:tc>
        <w:tc>
          <w:tcPr>
            <w:tcW w:w="802" w:type="dxa"/>
            <w:tcBorders>
              <w:left w:val="single" w:sz="4" w:space="0" w:color="auto"/>
              <w:right w:val="single" w:sz="4" w:space="0" w:color="auto"/>
            </w:tcBorders>
            <w:shd w:val="clear" w:color="auto" w:fill="auto"/>
          </w:tcPr>
          <w:p w14:paraId="3537D57C" w14:textId="77777777" w:rsidR="00036D1F" w:rsidRPr="002E540F" w:rsidRDefault="00036D1F" w:rsidP="00797996">
            <w:pPr>
              <w:rPr>
                <w:noProof/>
                <w:lang w:eastAsia="es-CO"/>
              </w:rPr>
            </w:pPr>
            <w:r>
              <w:rPr>
                <w:noProof/>
                <w:lang w:eastAsia="es-CO"/>
              </w:rPr>
              <w:t>30</w:t>
            </w:r>
          </w:p>
        </w:tc>
        <w:tc>
          <w:tcPr>
            <w:tcW w:w="1183" w:type="dxa"/>
            <w:tcBorders>
              <w:left w:val="single" w:sz="4" w:space="0" w:color="auto"/>
              <w:right w:val="single" w:sz="4" w:space="0" w:color="auto"/>
            </w:tcBorders>
            <w:shd w:val="clear" w:color="auto" w:fill="auto"/>
          </w:tcPr>
          <w:p w14:paraId="3A05BBE1" w14:textId="77777777" w:rsidR="00036D1F" w:rsidRPr="002E540F" w:rsidRDefault="00036D1F" w:rsidP="00797996">
            <w:pPr>
              <w:rPr>
                <w:noProof/>
                <w:lang w:eastAsia="es-CO"/>
              </w:rPr>
            </w:pPr>
            <w:r>
              <w:rPr>
                <w:noProof/>
                <w:lang w:eastAsia="es-CO"/>
              </w:rPr>
              <w:t>2-5</w:t>
            </w:r>
          </w:p>
        </w:tc>
      </w:tr>
      <w:tr w:rsidR="00036D1F" w14:paraId="15975C2D" w14:textId="77777777" w:rsidTr="00167374">
        <w:trPr>
          <w:trHeight w:val="113"/>
          <w:jc w:val="center"/>
        </w:trPr>
        <w:tc>
          <w:tcPr>
            <w:tcW w:w="1239" w:type="dxa"/>
            <w:tcBorders>
              <w:left w:val="single" w:sz="4" w:space="0" w:color="auto"/>
              <w:right w:val="single" w:sz="4" w:space="0" w:color="auto"/>
            </w:tcBorders>
            <w:shd w:val="clear" w:color="auto" w:fill="auto"/>
          </w:tcPr>
          <w:p w14:paraId="34CBEC4C" w14:textId="77777777" w:rsidR="00036D1F" w:rsidRDefault="00036D1F" w:rsidP="00797996">
            <w:pPr>
              <w:rPr>
                <w:noProof/>
                <w:lang w:eastAsia="es-CO"/>
              </w:rPr>
            </w:pPr>
            <w:r>
              <w:rPr>
                <w:noProof/>
                <w:lang w:eastAsia="es-CO"/>
              </w:rPr>
              <w:t>HCl</w:t>
            </w:r>
          </w:p>
        </w:tc>
        <w:tc>
          <w:tcPr>
            <w:tcW w:w="1166" w:type="dxa"/>
            <w:tcBorders>
              <w:left w:val="single" w:sz="4" w:space="0" w:color="auto"/>
              <w:right w:val="single" w:sz="4" w:space="0" w:color="auto"/>
            </w:tcBorders>
            <w:shd w:val="clear" w:color="auto" w:fill="auto"/>
          </w:tcPr>
          <w:p w14:paraId="0E34FCE6" w14:textId="77777777" w:rsidR="00036D1F" w:rsidRPr="002E540F" w:rsidRDefault="00036D1F" w:rsidP="00797996">
            <w:pPr>
              <w:rPr>
                <w:noProof/>
                <w:lang w:eastAsia="es-CO"/>
              </w:rPr>
            </w:pPr>
            <w:r>
              <w:rPr>
                <w:noProof/>
                <w:lang w:eastAsia="es-CO"/>
              </w:rPr>
              <w:t>500-2000</w:t>
            </w:r>
          </w:p>
        </w:tc>
        <w:tc>
          <w:tcPr>
            <w:tcW w:w="802" w:type="dxa"/>
            <w:tcBorders>
              <w:left w:val="single" w:sz="4" w:space="0" w:color="auto"/>
              <w:right w:val="single" w:sz="4" w:space="0" w:color="auto"/>
            </w:tcBorders>
            <w:shd w:val="clear" w:color="auto" w:fill="auto"/>
          </w:tcPr>
          <w:p w14:paraId="21D6BC81" w14:textId="77777777" w:rsidR="00036D1F" w:rsidRPr="002E540F" w:rsidRDefault="00036D1F" w:rsidP="00797996">
            <w:pPr>
              <w:rPr>
                <w:noProof/>
                <w:lang w:eastAsia="es-CO"/>
              </w:rPr>
            </w:pPr>
            <w:r>
              <w:rPr>
                <w:noProof/>
                <w:lang w:eastAsia="es-CO"/>
              </w:rPr>
              <w:t>20</w:t>
            </w:r>
          </w:p>
        </w:tc>
        <w:tc>
          <w:tcPr>
            <w:tcW w:w="1183" w:type="dxa"/>
            <w:tcBorders>
              <w:left w:val="single" w:sz="4" w:space="0" w:color="auto"/>
              <w:right w:val="single" w:sz="4" w:space="0" w:color="auto"/>
            </w:tcBorders>
            <w:shd w:val="clear" w:color="auto" w:fill="auto"/>
          </w:tcPr>
          <w:p w14:paraId="460A5623" w14:textId="77777777" w:rsidR="00036D1F" w:rsidRPr="002E540F" w:rsidRDefault="00036D1F" w:rsidP="00797996">
            <w:pPr>
              <w:rPr>
                <w:noProof/>
                <w:lang w:eastAsia="es-CO"/>
              </w:rPr>
            </w:pPr>
            <w:r>
              <w:rPr>
                <w:noProof/>
                <w:lang w:eastAsia="es-CO"/>
              </w:rPr>
              <w:t>2-6</w:t>
            </w:r>
          </w:p>
        </w:tc>
      </w:tr>
      <w:tr w:rsidR="00036D1F" w14:paraId="1680F89A" w14:textId="77777777" w:rsidTr="00167374">
        <w:trPr>
          <w:trHeight w:val="113"/>
          <w:jc w:val="center"/>
        </w:trPr>
        <w:tc>
          <w:tcPr>
            <w:tcW w:w="1239" w:type="dxa"/>
            <w:tcBorders>
              <w:left w:val="single" w:sz="4" w:space="0" w:color="auto"/>
              <w:right w:val="single" w:sz="4" w:space="0" w:color="auto"/>
            </w:tcBorders>
            <w:shd w:val="clear" w:color="auto" w:fill="auto"/>
          </w:tcPr>
          <w:p w14:paraId="6AB7ED8E" w14:textId="77777777" w:rsidR="00036D1F" w:rsidRDefault="00036D1F" w:rsidP="00797996">
            <w:pPr>
              <w:rPr>
                <w:noProof/>
                <w:lang w:eastAsia="es-CO"/>
              </w:rPr>
            </w:pPr>
            <w:r>
              <w:rPr>
                <w:noProof/>
                <w:lang w:eastAsia="es-CO"/>
              </w:rPr>
              <w:t>HF</w:t>
            </w:r>
          </w:p>
        </w:tc>
        <w:tc>
          <w:tcPr>
            <w:tcW w:w="1166" w:type="dxa"/>
            <w:tcBorders>
              <w:left w:val="single" w:sz="4" w:space="0" w:color="auto"/>
              <w:right w:val="single" w:sz="4" w:space="0" w:color="auto"/>
            </w:tcBorders>
            <w:shd w:val="clear" w:color="auto" w:fill="auto"/>
          </w:tcPr>
          <w:p w14:paraId="2D215E2B" w14:textId="77777777" w:rsidR="00036D1F" w:rsidRPr="002E540F" w:rsidRDefault="00036D1F" w:rsidP="00797996">
            <w:pPr>
              <w:rPr>
                <w:noProof/>
                <w:lang w:eastAsia="es-CO"/>
              </w:rPr>
            </w:pPr>
            <w:r>
              <w:rPr>
                <w:noProof/>
                <w:lang w:eastAsia="es-CO"/>
              </w:rPr>
              <w:t>1-10</w:t>
            </w:r>
          </w:p>
        </w:tc>
        <w:tc>
          <w:tcPr>
            <w:tcW w:w="802" w:type="dxa"/>
            <w:tcBorders>
              <w:left w:val="single" w:sz="4" w:space="0" w:color="auto"/>
              <w:right w:val="single" w:sz="4" w:space="0" w:color="auto"/>
            </w:tcBorders>
            <w:shd w:val="clear" w:color="auto" w:fill="auto"/>
          </w:tcPr>
          <w:p w14:paraId="74265B94" w14:textId="77777777" w:rsidR="00036D1F" w:rsidRPr="002E540F" w:rsidRDefault="00036D1F" w:rsidP="00797996">
            <w:pPr>
              <w:rPr>
                <w:noProof/>
                <w:lang w:eastAsia="es-CO"/>
              </w:rPr>
            </w:pPr>
            <w:r>
              <w:rPr>
                <w:noProof/>
                <w:lang w:eastAsia="es-CO"/>
              </w:rPr>
              <w:t>2</w:t>
            </w:r>
          </w:p>
        </w:tc>
        <w:tc>
          <w:tcPr>
            <w:tcW w:w="1183" w:type="dxa"/>
            <w:tcBorders>
              <w:left w:val="single" w:sz="4" w:space="0" w:color="auto"/>
              <w:right w:val="single" w:sz="4" w:space="0" w:color="auto"/>
            </w:tcBorders>
            <w:shd w:val="clear" w:color="auto" w:fill="auto"/>
          </w:tcPr>
          <w:p w14:paraId="7E94334C" w14:textId="77777777" w:rsidR="00036D1F" w:rsidRPr="002E540F" w:rsidRDefault="00036D1F" w:rsidP="00797996">
            <w:pPr>
              <w:rPr>
                <w:noProof/>
                <w:lang w:eastAsia="es-CO"/>
              </w:rPr>
            </w:pPr>
            <w:r>
              <w:rPr>
                <w:noProof/>
                <w:lang w:eastAsia="es-CO"/>
              </w:rPr>
              <w:t>&lt;1</w:t>
            </w:r>
          </w:p>
        </w:tc>
      </w:tr>
      <w:tr w:rsidR="00036D1F" w14:paraId="3533D981" w14:textId="77777777" w:rsidTr="00167374">
        <w:trPr>
          <w:trHeight w:val="113"/>
          <w:jc w:val="center"/>
        </w:trPr>
        <w:tc>
          <w:tcPr>
            <w:tcW w:w="1239" w:type="dxa"/>
            <w:tcBorders>
              <w:left w:val="single" w:sz="4" w:space="0" w:color="auto"/>
              <w:right w:val="single" w:sz="4" w:space="0" w:color="auto"/>
            </w:tcBorders>
            <w:shd w:val="clear" w:color="auto" w:fill="auto"/>
          </w:tcPr>
          <w:p w14:paraId="6CCDE783" w14:textId="77777777" w:rsidR="00036D1F" w:rsidRDefault="00036D1F" w:rsidP="00797996">
            <w:pPr>
              <w:rPr>
                <w:noProof/>
                <w:lang w:eastAsia="es-CO"/>
              </w:rPr>
            </w:pPr>
            <w:r>
              <w:rPr>
                <w:noProof/>
                <w:lang w:eastAsia="es-CO"/>
              </w:rPr>
              <w:t>SO</w:t>
            </w:r>
            <w:r w:rsidRPr="00AC1A64">
              <w:rPr>
                <w:noProof/>
                <w:vertAlign w:val="subscript"/>
                <w:lang w:eastAsia="es-CO"/>
              </w:rPr>
              <w:t>2</w:t>
            </w:r>
          </w:p>
        </w:tc>
        <w:tc>
          <w:tcPr>
            <w:tcW w:w="1166" w:type="dxa"/>
            <w:tcBorders>
              <w:left w:val="single" w:sz="4" w:space="0" w:color="auto"/>
              <w:right w:val="single" w:sz="4" w:space="0" w:color="auto"/>
            </w:tcBorders>
            <w:shd w:val="clear" w:color="auto" w:fill="auto"/>
          </w:tcPr>
          <w:p w14:paraId="323775F1" w14:textId="77777777" w:rsidR="00036D1F" w:rsidRPr="002E540F" w:rsidRDefault="00036D1F" w:rsidP="00797996">
            <w:pPr>
              <w:rPr>
                <w:noProof/>
                <w:lang w:eastAsia="es-CO"/>
              </w:rPr>
            </w:pPr>
            <w:r>
              <w:rPr>
                <w:noProof/>
                <w:lang w:eastAsia="es-CO"/>
              </w:rPr>
              <w:t>150-400</w:t>
            </w:r>
          </w:p>
        </w:tc>
        <w:tc>
          <w:tcPr>
            <w:tcW w:w="802" w:type="dxa"/>
            <w:tcBorders>
              <w:left w:val="single" w:sz="4" w:space="0" w:color="auto"/>
              <w:right w:val="single" w:sz="4" w:space="0" w:color="auto"/>
            </w:tcBorders>
            <w:shd w:val="clear" w:color="auto" w:fill="auto"/>
          </w:tcPr>
          <w:p w14:paraId="14B46104" w14:textId="77777777" w:rsidR="00036D1F" w:rsidRPr="002E540F" w:rsidRDefault="00036D1F" w:rsidP="00797996">
            <w:pPr>
              <w:rPr>
                <w:noProof/>
                <w:lang w:eastAsia="es-CO"/>
              </w:rPr>
            </w:pPr>
            <w:r>
              <w:rPr>
                <w:noProof/>
                <w:lang w:eastAsia="es-CO"/>
              </w:rPr>
              <w:t>50</w:t>
            </w:r>
          </w:p>
        </w:tc>
        <w:tc>
          <w:tcPr>
            <w:tcW w:w="1183" w:type="dxa"/>
            <w:tcBorders>
              <w:left w:val="single" w:sz="4" w:space="0" w:color="auto"/>
              <w:right w:val="single" w:sz="4" w:space="0" w:color="auto"/>
            </w:tcBorders>
            <w:shd w:val="clear" w:color="auto" w:fill="auto"/>
          </w:tcPr>
          <w:p w14:paraId="66FA8E59" w14:textId="77777777" w:rsidR="00036D1F" w:rsidRPr="002E540F" w:rsidRDefault="00036D1F" w:rsidP="00797996">
            <w:pPr>
              <w:rPr>
                <w:noProof/>
                <w:lang w:eastAsia="es-CO"/>
              </w:rPr>
            </w:pPr>
            <w:r>
              <w:rPr>
                <w:noProof/>
                <w:lang w:eastAsia="es-CO"/>
              </w:rPr>
              <w:t>5-30</w:t>
            </w:r>
          </w:p>
        </w:tc>
      </w:tr>
      <w:tr w:rsidR="00036D1F" w14:paraId="78CA2999" w14:textId="77777777" w:rsidTr="00167374">
        <w:trPr>
          <w:trHeight w:val="113"/>
          <w:jc w:val="center"/>
        </w:trPr>
        <w:tc>
          <w:tcPr>
            <w:tcW w:w="1239" w:type="dxa"/>
            <w:tcBorders>
              <w:left w:val="single" w:sz="4" w:space="0" w:color="auto"/>
              <w:right w:val="single" w:sz="4" w:space="0" w:color="auto"/>
            </w:tcBorders>
            <w:shd w:val="clear" w:color="auto" w:fill="auto"/>
          </w:tcPr>
          <w:p w14:paraId="212BF64B" w14:textId="77777777" w:rsidR="00036D1F" w:rsidRDefault="00036D1F" w:rsidP="00797996">
            <w:pPr>
              <w:rPr>
                <w:noProof/>
                <w:lang w:eastAsia="es-CO"/>
              </w:rPr>
            </w:pPr>
            <w:r>
              <w:rPr>
                <w:noProof/>
                <w:lang w:eastAsia="es-CO"/>
              </w:rPr>
              <w:t>NO</w:t>
            </w:r>
            <w:r w:rsidRPr="00AC1A64">
              <w:rPr>
                <w:noProof/>
                <w:vertAlign w:val="subscript"/>
                <w:lang w:eastAsia="es-CO"/>
              </w:rPr>
              <w:t>x</w:t>
            </w:r>
          </w:p>
        </w:tc>
        <w:tc>
          <w:tcPr>
            <w:tcW w:w="1166" w:type="dxa"/>
            <w:tcBorders>
              <w:left w:val="single" w:sz="4" w:space="0" w:color="auto"/>
              <w:right w:val="single" w:sz="4" w:space="0" w:color="auto"/>
            </w:tcBorders>
            <w:shd w:val="clear" w:color="auto" w:fill="auto"/>
          </w:tcPr>
          <w:p w14:paraId="2E945937" w14:textId="77777777" w:rsidR="00036D1F" w:rsidRPr="002E540F" w:rsidRDefault="00036D1F" w:rsidP="00797996">
            <w:pPr>
              <w:rPr>
                <w:noProof/>
                <w:lang w:eastAsia="es-CO"/>
              </w:rPr>
            </w:pPr>
            <w:r>
              <w:rPr>
                <w:noProof/>
                <w:lang w:eastAsia="es-CO"/>
              </w:rPr>
              <w:t>200-500</w:t>
            </w:r>
          </w:p>
        </w:tc>
        <w:tc>
          <w:tcPr>
            <w:tcW w:w="802" w:type="dxa"/>
            <w:tcBorders>
              <w:left w:val="single" w:sz="4" w:space="0" w:color="auto"/>
              <w:right w:val="single" w:sz="4" w:space="0" w:color="auto"/>
            </w:tcBorders>
            <w:shd w:val="clear" w:color="auto" w:fill="auto"/>
          </w:tcPr>
          <w:p w14:paraId="0C2F4EC7" w14:textId="77777777" w:rsidR="00036D1F" w:rsidRPr="002E540F" w:rsidRDefault="00036D1F" w:rsidP="00797996">
            <w:pPr>
              <w:rPr>
                <w:noProof/>
                <w:lang w:eastAsia="es-CO"/>
              </w:rPr>
            </w:pPr>
            <w:r>
              <w:rPr>
                <w:noProof/>
                <w:lang w:eastAsia="es-CO"/>
              </w:rPr>
              <w:t>300</w:t>
            </w:r>
          </w:p>
        </w:tc>
        <w:tc>
          <w:tcPr>
            <w:tcW w:w="1183" w:type="dxa"/>
            <w:tcBorders>
              <w:left w:val="single" w:sz="4" w:space="0" w:color="auto"/>
              <w:right w:val="single" w:sz="4" w:space="0" w:color="auto"/>
            </w:tcBorders>
            <w:shd w:val="clear" w:color="auto" w:fill="auto"/>
          </w:tcPr>
          <w:p w14:paraId="0DEDD9D3" w14:textId="77777777" w:rsidR="00036D1F" w:rsidRPr="002E540F" w:rsidRDefault="00036D1F" w:rsidP="00797996">
            <w:pPr>
              <w:rPr>
                <w:noProof/>
                <w:lang w:eastAsia="es-CO"/>
              </w:rPr>
            </w:pPr>
            <w:r>
              <w:rPr>
                <w:noProof/>
                <w:lang w:eastAsia="es-CO"/>
              </w:rPr>
              <w:t>50-120</w:t>
            </w:r>
          </w:p>
        </w:tc>
      </w:tr>
      <w:tr w:rsidR="00036D1F" w14:paraId="6570A46E" w14:textId="77777777" w:rsidTr="00167374">
        <w:trPr>
          <w:trHeight w:val="113"/>
          <w:jc w:val="center"/>
        </w:trPr>
        <w:tc>
          <w:tcPr>
            <w:tcW w:w="1239" w:type="dxa"/>
            <w:tcBorders>
              <w:left w:val="single" w:sz="4" w:space="0" w:color="auto"/>
              <w:right w:val="single" w:sz="4" w:space="0" w:color="auto"/>
            </w:tcBorders>
            <w:shd w:val="clear" w:color="auto" w:fill="auto"/>
          </w:tcPr>
          <w:p w14:paraId="7EAACA64" w14:textId="77777777" w:rsidR="00036D1F" w:rsidRDefault="00036D1F" w:rsidP="00797996">
            <w:pPr>
              <w:rPr>
                <w:noProof/>
                <w:lang w:eastAsia="es-CO"/>
              </w:rPr>
            </w:pPr>
            <w:r>
              <w:rPr>
                <w:noProof/>
                <w:lang w:eastAsia="es-CO"/>
              </w:rPr>
              <w:t>Hg</w:t>
            </w:r>
          </w:p>
        </w:tc>
        <w:tc>
          <w:tcPr>
            <w:tcW w:w="1166" w:type="dxa"/>
            <w:tcBorders>
              <w:left w:val="single" w:sz="4" w:space="0" w:color="auto"/>
              <w:right w:val="single" w:sz="4" w:space="0" w:color="auto"/>
            </w:tcBorders>
            <w:shd w:val="clear" w:color="auto" w:fill="auto"/>
          </w:tcPr>
          <w:p w14:paraId="7923493F" w14:textId="77777777" w:rsidR="00036D1F" w:rsidRPr="002E540F" w:rsidRDefault="00036D1F" w:rsidP="00797996">
            <w:pPr>
              <w:rPr>
                <w:noProof/>
                <w:lang w:eastAsia="es-CO"/>
              </w:rPr>
            </w:pPr>
            <w:r>
              <w:rPr>
                <w:noProof/>
                <w:lang w:eastAsia="es-CO"/>
              </w:rPr>
              <w:t>0,1-0,5</w:t>
            </w:r>
          </w:p>
        </w:tc>
        <w:tc>
          <w:tcPr>
            <w:tcW w:w="802" w:type="dxa"/>
            <w:tcBorders>
              <w:left w:val="single" w:sz="4" w:space="0" w:color="auto"/>
              <w:right w:val="single" w:sz="4" w:space="0" w:color="auto"/>
            </w:tcBorders>
            <w:shd w:val="clear" w:color="auto" w:fill="auto"/>
          </w:tcPr>
          <w:p w14:paraId="59BDFDE1" w14:textId="77777777" w:rsidR="00036D1F" w:rsidRPr="002E540F" w:rsidRDefault="00036D1F" w:rsidP="00797996">
            <w:pPr>
              <w:rPr>
                <w:noProof/>
                <w:lang w:eastAsia="es-CO"/>
              </w:rPr>
            </w:pPr>
            <w:r>
              <w:rPr>
                <w:noProof/>
                <w:lang w:eastAsia="es-CO"/>
              </w:rPr>
              <w:t>0,1</w:t>
            </w:r>
          </w:p>
        </w:tc>
        <w:tc>
          <w:tcPr>
            <w:tcW w:w="1183" w:type="dxa"/>
            <w:tcBorders>
              <w:left w:val="single" w:sz="4" w:space="0" w:color="auto"/>
              <w:right w:val="single" w:sz="4" w:space="0" w:color="auto"/>
            </w:tcBorders>
            <w:shd w:val="clear" w:color="auto" w:fill="auto"/>
          </w:tcPr>
          <w:p w14:paraId="68C194A6" w14:textId="77777777" w:rsidR="00036D1F" w:rsidRPr="002E540F" w:rsidRDefault="00036D1F" w:rsidP="00797996">
            <w:pPr>
              <w:rPr>
                <w:noProof/>
                <w:lang w:eastAsia="es-CO"/>
              </w:rPr>
            </w:pPr>
            <w:r>
              <w:rPr>
                <w:noProof/>
                <w:lang w:eastAsia="es-CO"/>
              </w:rPr>
              <w:t>0,005-0,02</w:t>
            </w:r>
          </w:p>
        </w:tc>
      </w:tr>
      <w:tr w:rsidR="00036D1F" w14:paraId="096C5666" w14:textId="77777777" w:rsidTr="00167374">
        <w:trPr>
          <w:trHeight w:val="113"/>
          <w:jc w:val="center"/>
        </w:trPr>
        <w:tc>
          <w:tcPr>
            <w:tcW w:w="1239" w:type="dxa"/>
            <w:tcBorders>
              <w:left w:val="single" w:sz="4" w:space="0" w:color="auto"/>
              <w:right w:val="single" w:sz="4" w:space="0" w:color="auto"/>
            </w:tcBorders>
            <w:shd w:val="clear" w:color="auto" w:fill="auto"/>
          </w:tcPr>
          <w:p w14:paraId="2D610107" w14:textId="77777777" w:rsidR="00036D1F" w:rsidRDefault="00036D1F" w:rsidP="00797996">
            <w:pPr>
              <w:rPr>
                <w:noProof/>
                <w:lang w:eastAsia="es-CO"/>
              </w:rPr>
            </w:pPr>
            <w:r>
              <w:rPr>
                <w:noProof/>
                <w:lang w:eastAsia="es-CO"/>
              </w:rPr>
              <w:t>Cd</w:t>
            </w:r>
          </w:p>
        </w:tc>
        <w:tc>
          <w:tcPr>
            <w:tcW w:w="1166" w:type="dxa"/>
            <w:tcBorders>
              <w:left w:val="single" w:sz="4" w:space="0" w:color="auto"/>
              <w:right w:val="single" w:sz="4" w:space="0" w:color="auto"/>
            </w:tcBorders>
            <w:shd w:val="clear" w:color="auto" w:fill="auto"/>
          </w:tcPr>
          <w:p w14:paraId="7D71470D" w14:textId="77777777" w:rsidR="00036D1F" w:rsidRPr="002E540F" w:rsidRDefault="00036D1F" w:rsidP="00797996">
            <w:pPr>
              <w:rPr>
                <w:noProof/>
                <w:lang w:eastAsia="es-CO"/>
              </w:rPr>
            </w:pPr>
            <w:r>
              <w:rPr>
                <w:noProof/>
                <w:lang w:eastAsia="es-CO"/>
              </w:rPr>
              <w:t>0,1-0,5</w:t>
            </w:r>
          </w:p>
        </w:tc>
        <w:tc>
          <w:tcPr>
            <w:tcW w:w="802" w:type="dxa"/>
            <w:tcBorders>
              <w:left w:val="single" w:sz="4" w:space="0" w:color="auto"/>
              <w:right w:val="single" w:sz="4" w:space="0" w:color="auto"/>
            </w:tcBorders>
            <w:shd w:val="clear" w:color="auto" w:fill="auto"/>
          </w:tcPr>
          <w:p w14:paraId="7DBFB1EF" w14:textId="77777777" w:rsidR="00036D1F" w:rsidRPr="002E540F" w:rsidRDefault="00036D1F" w:rsidP="00797996">
            <w:pPr>
              <w:rPr>
                <w:noProof/>
                <w:lang w:eastAsia="es-CO"/>
              </w:rPr>
            </w:pPr>
            <w:r>
              <w:rPr>
                <w:noProof/>
                <w:lang w:eastAsia="es-CO"/>
              </w:rPr>
              <w:t>0,1</w:t>
            </w:r>
          </w:p>
        </w:tc>
        <w:tc>
          <w:tcPr>
            <w:tcW w:w="1183" w:type="dxa"/>
            <w:tcBorders>
              <w:left w:val="single" w:sz="4" w:space="0" w:color="auto"/>
              <w:right w:val="single" w:sz="4" w:space="0" w:color="auto"/>
            </w:tcBorders>
            <w:shd w:val="clear" w:color="auto" w:fill="auto"/>
          </w:tcPr>
          <w:p w14:paraId="3E1A1389" w14:textId="77777777" w:rsidR="00036D1F" w:rsidRPr="002E540F" w:rsidRDefault="00036D1F" w:rsidP="00797996">
            <w:pPr>
              <w:rPr>
                <w:noProof/>
                <w:lang w:eastAsia="es-CO"/>
              </w:rPr>
            </w:pPr>
            <w:r>
              <w:rPr>
                <w:noProof/>
                <w:lang w:eastAsia="es-CO"/>
              </w:rPr>
              <w:t>0,05</w:t>
            </w:r>
          </w:p>
        </w:tc>
      </w:tr>
      <w:tr w:rsidR="00036D1F" w14:paraId="1B75D437" w14:textId="77777777" w:rsidTr="00167374">
        <w:trPr>
          <w:trHeight w:val="113"/>
          <w:jc w:val="center"/>
        </w:trPr>
        <w:tc>
          <w:tcPr>
            <w:tcW w:w="1239" w:type="dxa"/>
            <w:tcBorders>
              <w:left w:val="single" w:sz="4" w:space="0" w:color="auto"/>
              <w:right w:val="single" w:sz="4" w:space="0" w:color="auto"/>
            </w:tcBorders>
            <w:shd w:val="clear" w:color="auto" w:fill="auto"/>
          </w:tcPr>
          <w:p w14:paraId="1C3B428D" w14:textId="77777777" w:rsidR="00036D1F" w:rsidRDefault="00036D1F" w:rsidP="00797996">
            <w:pPr>
              <w:rPr>
                <w:noProof/>
                <w:lang w:eastAsia="es-CO"/>
              </w:rPr>
            </w:pPr>
            <w:r>
              <w:rPr>
                <w:noProof/>
                <w:lang w:eastAsia="es-CO"/>
              </w:rPr>
              <w:t>PCDD/F</w:t>
            </w:r>
            <w:r w:rsidRPr="00A96C73">
              <w:rPr>
                <w:noProof/>
                <w:vertAlign w:val="superscript"/>
                <w:lang w:eastAsia="es-CO"/>
              </w:rPr>
              <w:t>d</w:t>
            </w:r>
          </w:p>
        </w:tc>
        <w:tc>
          <w:tcPr>
            <w:tcW w:w="1166" w:type="dxa"/>
            <w:tcBorders>
              <w:left w:val="single" w:sz="4" w:space="0" w:color="auto"/>
              <w:right w:val="single" w:sz="4" w:space="0" w:color="auto"/>
            </w:tcBorders>
            <w:shd w:val="clear" w:color="auto" w:fill="auto"/>
          </w:tcPr>
          <w:p w14:paraId="2874D73E" w14:textId="77777777" w:rsidR="00036D1F" w:rsidRPr="002E540F" w:rsidRDefault="00036D1F" w:rsidP="00797996">
            <w:pPr>
              <w:rPr>
                <w:noProof/>
                <w:lang w:eastAsia="es-CO"/>
              </w:rPr>
            </w:pPr>
            <w:r>
              <w:rPr>
                <w:noProof/>
                <w:lang w:eastAsia="es-CO"/>
              </w:rPr>
              <w:t>1-10</w:t>
            </w:r>
          </w:p>
        </w:tc>
        <w:tc>
          <w:tcPr>
            <w:tcW w:w="802" w:type="dxa"/>
            <w:tcBorders>
              <w:left w:val="single" w:sz="4" w:space="0" w:color="auto"/>
              <w:right w:val="single" w:sz="4" w:space="0" w:color="auto"/>
            </w:tcBorders>
            <w:shd w:val="clear" w:color="auto" w:fill="auto"/>
          </w:tcPr>
          <w:p w14:paraId="25722BF5" w14:textId="77777777" w:rsidR="00036D1F" w:rsidRPr="002E540F" w:rsidRDefault="00036D1F" w:rsidP="00797996">
            <w:pPr>
              <w:rPr>
                <w:noProof/>
                <w:lang w:eastAsia="es-CO"/>
              </w:rPr>
            </w:pPr>
            <w:r>
              <w:rPr>
                <w:noProof/>
                <w:lang w:eastAsia="es-CO"/>
              </w:rPr>
              <w:t>0,2</w:t>
            </w:r>
          </w:p>
        </w:tc>
        <w:tc>
          <w:tcPr>
            <w:tcW w:w="1183" w:type="dxa"/>
            <w:tcBorders>
              <w:left w:val="single" w:sz="4" w:space="0" w:color="auto"/>
              <w:right w:val="single" w:sz="4" w:space="0" w:color="auto"/>
            </w:tcBorders>
            <w:shd w:val="clear" w:color="auto" w:fill="auto"/>
          </w:tcPr>
          <w:p w14:paraId="280D25F4" w14:textId="77777777" w:rsidR="00036D1F" w:rsidRPr="002E540F" w:rsidRDefault="00036D1F" w:rsidP="00797996">
            <w:pPr>
              <w:rPr>
                <w:noProof/>
                <w:lang w:eastAsia="es-CO"/>
              </w:rPr>
            </w:pPr>
            <w:r>
              <w:rPr>
                <w:noProof/>
                <w:lang w:eastAsia="es-CO"/>
              </w:rPr>
              <w:t>&lt;0,01-0,06</w:t>
            </w:r>
          </w:p>
        </w:tc>
      </w:tr>
    </w:tbl>
    <w:p w14:paraId="125AFBE7" w14:textId="2AAE0BFB" w:rsidR="00036D1F" w:rsidRPr="00905453" w:rsidRDefault="00036D1F" w:rsidP="00905453">
      <w:pPr>
        <w:pStyle w:val="Fuentefigurasytablas"/>
      </w:pPr>
      <w:r w:rsidRPr="00905453">
        <w:t>a</w:t>
      </w:r>
      <w:r w:rsidR="004821E7">
        <w:t>)</w:t>
      </w:r>
      <w:r w:rsidRPr="00905453">
        <w:t xml:space="preserve"> mg/m</w:t>
      </w:r>
      <w:r w:rsidRPr="00905453">
        <w:rPr>
          <w:vertAlign w:val="superscript"/>
        </w:rPr>
        <w:t>3</w:t>
      </w:r>
      <w:r w:rsidRPr="00905453">
        <w:t>; b</w:t>
      </w:r>
      <w:r w:rsidR="004821E7">
        <w:t>)</w:t>
      </w:r>
      <w:r w:rsidRPr="00905453">
        <w:t xml:space="preserve"> 298 K, 101 kPa; c</w:t>
      </w:r>
      <w:r w:rsidR="007D7566">
        <w:t>)</w:t>
      </w:r>
      <w:r w:rsidRPr="00905453">
        <w:t xml:space="preserve"> 273 K, 101.3 kPa, 11% vol</w:t>
      </w:r>
      <w:r w:rsidR="00F05F88">
        <w:t>.</w:t>
      </w:r>
      <w:r w:rsidRPr="00905453">
        <w:t xml:space="preserve"> O</w:t>
      </w:r>
      <w:r w:rsidRPr="00905453">
        <w:rPr>
          <w:vertAlign w:val="subscript"/>
        </w:rPr>
        <w:t>2</w:t>
      </w:r>
      <w:r w:rsidRPr="00905453">
        <w:t>; d ng(I-TE)/m</w:t>
      </w:r>
      <w:r w:rsidRPr="00905453">
        <w:rPr>
          <w:vertAlign w:val="superscript"/>
        </w:rPr>
        <w:t>3</w:t>
      </w:r>
      <w:r w:rsidRPr="00905453">
        <w:t xml:space="preserve">. Fuente: </w:t>
      </w:r>
      <w:r w:rsidR="000F76E4">
        <w:t>[34</w:t>
      </w:r>
      <w:r w:rsidR="001A3FAA">
        <w:t>],</w:t>
      </w:r>
      <w:r w:rsidR="00C60D4F">
        <w:t xml:space="preserve"> [35], [</w:t>
      </w:r>
      <w:r w:rsidR="000F76E4">
        <w:t>36].</w:t>
      </w:r>
    </w:p>
    <w:p w14:paraId="71457E32" w14:textId="6A7DB262" w:rsidR="00F86F75" w:rsidRDefault="006A11C6" w:rsidP="00D774C3">
      <w:r>
        <w:t>La reducción de polvo y cenizas volátiles es la primera etapa del proceso que se desarrolla con equipos como ciclones, precipitadores electrostáticos</w:t>
      </w:r>
      <w:r w:rsidR="005870A0">
        <w:t xml:space="preserve">, </w:t>
      </w:r>
      <w:r>
        <w:t xml:space="preserve">ESP, filtros de tela o depuradores tipo Venturi. Los ESP y los filtros de tela son muy eficientes en la disminución de concentración de partículas con tamaños menores a 2,5 </w:t>
      </w:r>
      <w:r>
        <w:rPr>
          <w:rFonts w:cs="Times New Roman"/>
        </w:rPr>
        <w:t>µ</w:t>
      </w:r>
      <w:r>
        <w:t>m. La temperatura de los gases debe estar debajo de 200°C para prevenir la formación de dioxinas. La capacidad de filtrado varía entre 7 a 15 kg/t de RSU [</w:t>
      </w:r>
      <w:r w:rsidR="007D7566">
        <w:t>34</w:t>
      </w:r>
      <w:r>
        <w:t>]. El proceso de reducción de componentes ácidos y sulfurosos de la corriente de gas se puede realizar con procedimientos de limpieza o depuración húmeda o seca. En la depuración húmeda se utilizan agentes neutralizadores para componentes ácidos como HCl, HBr y HF en ambientes con un pH&lt;1; y otros para componentes sulfurosos como SO</w:t>
      </w:r>
      <w:r w:rsidRPr="006F0F89">
        <w:rPr>
          <w:vertAlign w:val="subscript"/>
        </w:rPr>
        <w:t>2</w:t>
      </w:r>
      <w:r>
        <w:t xml:space="preserve"> en un ambiente con un pH cercano al valor neutro.</w:t>
      </w:r>
      <w:r w:rsidR="0081193A">
        <w:t xml:space="preserve"> </w:t>
      </w:r>
      <w:r w:rsidR="008934FF">
        <w:t xml:space="preserve">La depuración seca basada en la reducción de estos componentes por medio </w:t>
      </w:r>
      <w:r w:rsidR="00B654C1">
        <w:t>del contacto de elementos sólidos o lodos</w:t>
      </w:r>
      <w:r w:rsidR="00AD400C">
        <w:t xml:space="preserve"> </w:t>
      </w:r>
      <w:r w:rsidR="005D7604">
        <w:t>considera métodos de limpieza seca, en la que se inyecta a la corriente de gases</w:t>
      </w:r>
      <w:r w:rsidR="00AD5CA0">
        <w:t xml:space="preserve"> un agente neutralizador</w:t>
      </w:r>
      <w:r w:rsidR="00890B28">
        <w:t xml:space="preserve"> como </w:t>
      </w:r>
      <w:r w:rsidR="00246723">
        <w:t>la cal apagada</w:t>
      </w:r>
      <w:r w:rsidR="00CF7832">
        <w:t>,</w:t>
      </w:r>
      <w:r w:rsidR="00890B28">
        <w:t xml:space="preserve"> Ca(OH)</w:t>
      </w:r>
      <w:r w:rsidR="00890B28" w:rsidRPr="001B33D4">
        <w:rPr>
          <w:vertAlign w:val="subscript"/>
        </w:rPr>
        <w:t>2</w:t>
      </w:r>
      <w:r w:rsidR="00CF7832">
        <w:t>,</w:t>
      </w:r>
      <w:r w:rsidR="00890B28">
        <w:t xml:space="preserve"> o</w:t>
      </w:r>
      <w:r w:rsidR="00CF7832">
        <w:t xml:space="preserve"> el bicarbonato,</w:t>
      </w:r>
      <w:r w:rsidR="00890B28">
        <w:t xml:space="preserve"> NaHCO</w:t>
      </w:r>
      <w:r w:rsidR="00890B28" w:rsidRPr="001B33D4">
        <w:rPr>
          <w:vertAlign w:val="subscript"/>
        </w:rPr>
        <w:t>3</w:t>
      </w:r>
      <w:r w:rsidR="00CF7832">
        <w:t>;</w:t>
      </w:r>
      <w:r w:rsidR="00871B6C">
        <w:t xml:space="preserve"> limpieza semiseca donde</w:t>
      </w:r>
      <w:r w:rsidR="006722DB">
        <w:t>,</w:t>
      </w:r>
      <w:r w:rsidR="00871B6C">
        <w:t xml:space="preserve"> previamente a la inyección del agente neutralizador</w:t>
      </w:r>
      <w:r w:rsidR="006722DB">
        <w:t>,</w:t>
      </w:r>
      <w:r w:rsidR="00871B6C">
        <w:t xml:space="preserve"> la corriente de gases de humedece, </w:t>
      </w:r>
      <w:r w:rsidR="006722DB">
        <w:t xml:space="preserve">y limpieza semi húmeda por medio de la inyección de lodos a la corriente. </w:t>
      </w:r>
      <w:r w:rsidR="00A06924">
        <w:t>[</w:t>
      </w:r>
      <w:r w:rsidR="007D7566">
        <w:t>34</w:t>
      </w:r>
      <w:r w:rsidR="00AD400C">
        <w:t xml:space="preserve">]. </w:t>
      </w:r>
      <w:r w:rsidR="00EA5FD3">
        <w:t>El costo de la reducción depende</w:t>
      </w:r>
      <w:r w:rsidR="00780B28">
        <w:t xml:space="preserve"> del tipo de agente alcalino y los costos</w:t>
      </w:r>
      <w:r w:rsidR="005D1938">
        <w:t xml:space="preserve"> del tratamiento y disposición de los residuos [</w:t>
      </w:r>
      <w:r w:rsidR="001A3FAA">
        <w:t>28</w:t>
      </w:r>
      <w:r w:rsidR="005D1938">
        <w:t xml:space="preserve">]. </w:t>
      </w:r>
      <w:r w:rsidR="00EF52EC">
        <w:t>La disminución de NO</w:t>
      </w:r>
      <w:r w:rsidR="00EF52EC" w:rsidRPr="00645B63">
        <w:rPr>
          <w:vertAlign w:val="subscript"/>
        </w:rPr>
        <w:t>x</w:t>
      </w:r>
      <w:r w:rsidR="00EF52EC">
        <w:t xml:space="preserve"> puede realizarse por medio de técnicas primarias</w:t>
      </w:r>
      <w:r w:rsidR="0030071D">
        <w:t xml:space="preserve"> o secundarias</w:t>
      </w:r>
      <w:r w:rsidR="00D46DEB">
        <w:t xml:space="preserve">. </w:t>
      </w:r>
      <w:r w:rsidR="00B21DF6">
        <w:t xml:space="preserve">Las técnicas primarias </w:t>
      </w:r>
      <w:r w:rsidR="009463E0">
        <w:rPr>
          <w:lang w:val="es-CL"/>
        </w:rPr>
        <w:t xml:space="preserve">consisten en tratamientos </w:t>
      </w:r>
      <w:r w:rsidR="00920E5B">
        <w:rPr>
          <w:lang w:val="es-CL"/>
        </w:rPr>
        <w:t>previos</w:t>
      </w:r>
      <w:r w:rsidR="009463E0">
        <w:rPr>
          <w:lang w:val="es-CL"/>
        </w:rPr>
        <w:t xml:space="preserve"> o durante el proceso de combustión</w:t>
      </w:r>
      <w:r w:rsidR="008E0D40">
        <w:rPr>
          <w:lang w:val="es-CL"/>
        </w:rPr>
        <w:t xml:space="preserve"> como </w:t>
      </w:r>
      <w:r w:rsidR="00C21005">
        <w:rPr>
          <w:lang w:val="es-CL"/>
        </w:rPr>
        <w:t xml:space="preserve">escalonamientos de aire para generar zonas con deficiencia y exceso de </w:t>
      </w:r>
      <w:r w:rsidR="00AE4844">
        <w:rPr>
          <w:lang w:val="es-CL"/>
        </w:rPr>
        <w:t xml:space="preserve">aire, </w:t>
      </w:r>
      <w:r w:rsidR="00B80322">
        <w:rPr>
          <w:lang w:val="es-CL"/>
        </w:rPr>
        <w:t xml:space="preserve">o bien, </w:t>
      </w:r>
      <w:r w:rsidR="00AE4844">
        <w:rPr>
          <w:lang w:val="es-CL"/>
        </w:rPr>
        <w:t>combustión escalonada</w:t>
      </w:r>
      <w:r w:rsidR="00B80322">
        <w:rPr>
          <w:lang w:val="es-CL"/>
        </w:rPr>
        <w:t xml:space="preserve"> utilizando combustibles fósiles</w:t>
      </w:r>
      <w:r w:rsidR="009463E0">
        <w:rPr>
          <w:lang w:val="es-CL"/>
        </w:rPr>
        <w:t xml:space="preserve">; si </w:t>
      </w:r>
      <w:r w:rsidR="00561A07">
        <w:rPr>
          <w:lang w:val="es-CL"/>
        </w:rPr>
        <w:t xml:space="preserve">con esto </w:t>
      </w:r>
      <w:r w:rsidR="001828FB">
        <w:rPr>
          <w:lang w:val="es-CL"/>
        </w:rPr>
        <w:t>la reducción de concentración de NO</w:t>
      </w:r>
      <w:r w:rsidR="001828FB" w:rsidRPr="001828FB">
        <w:rPr>
          <w:vertAlign w:val="subscript"/>
          <w:lang w:val="es-CL"/>
        </w:rPr>
        <w:t>x</w:t>
      </w:r>
      <w:r w:rsidR="001828FB">
        <w:rPr>
          <w:lang w:val="es-CL"/>
        </w:rPr>
        <w:t xml:space="preserve"> no es suficiente, </w:t>
      </w:r>
      <w:r w:rsidR="009463E0">
        <w:rPr>
          <w:lang w:val="es-CL"/>
        </w:rPr>
        <w:t>se aplican medidas secundarias</w:t>
      </w:r>
      <w:r w:rsidR="00AA4417">
        <w:rPr>
          <w:lang w:val="es-CL"/>
        </w:rPr>
        <w:t>:</w:t>
      </w:r>
      <w:r w:rsidR="009463E0">
        <w:rPr>
          <w:lang w:val="es-CL"/>
        </w:rPr>
        <w:t xml:space="preserve"> reducción catalítica </w:t>
      </w:r>
      <w:r w:rsidR="00401802">
        <w:rPr>
          <w:lang w:val="es-CL"/>
        </w:rPr>
        <w:t xml:space="preserve">no </w:t>
      </w:r>
      <w:r w:rsidR="009463E0">
        <w:rPr>
          <w:lang w:val="es-CL"/>
        </w:rPr>
        <w:t>selectiva</w:t>
      </w:r>
      <w:r w:rsidR="005870A0">
        <w:rPr>
          <w:lang w:val="es-CL"/>
        </w:rPr>
        <w:t>,</w:t>
      </w:r>
      <w:r w:rsidR="009463E0">
        <w:rPr>
          <w:lang w:val="es-CL"/>
        </w:rPr>
        <w:t xml:space="preserve"> </w:t>
      </w:r>
      <w:r w:rsidR="00401802">
        <w:rPr>
          <w:lang w:val="es-CL"/>
        </w:rPr>
        <w:t>RCNS</w:t>
      </w:r>
      <w:r w:rsidR="005870A0">
        <w:rPr>
          <w:lang w:val="es-CL"/>
        </w:rPr>
        <w:t>,</w:t>
      </w:r>
      <w:r w:rsidR="009463E0">
        <w:rPr>
          <w:lang w:val="es-CL"/>
        </w:rPr>
        <w:t xml:space="preserve"> y reducción catalítica selectiva</w:t>
      </w:r>
      <w:r w:rsidR="005870A0">
        <w:rPr>
          <w:lang w:val="es-CL"/>
        </w:rPr>
        <w:t>,</w:t>
      </w:r>
      <w:r w:rsidR="009463E0">
        <w:rPr>
          <w:lang w:val="es-CL"/>
        </w:rPr>
        <w:t xml:space="preserve"> </w:t>
      </w:r>
      <w:r w:rsidR="00401802">
        <w:rPr>
          <w:lang w:val="es-CL"/>
        </w:rPr>
        <w:t>RCS</w:t>
      </w:r>
      <w:r w:rsidR="003D4102">
        <w:rPr>
          <w:lang w:val="es-CL"/>
        </w:rPr>
        <w:t>. La RCNS</w:t>
      </w:r>
      <w:r w:rsidR="009F4F73">
        <w:rPr>
          <w:lang w:val="es-CL"/>
        </w:rPr>
        <w:t xml:space="preserve"> </w:t>
      </w:r>
      <w:r w:rsidR="00A071DE">
        <w:rPr>
          <w:lang w:val="es-CL"/>
        </w:rPr>
        <w:lastRenderedPageBreak/>
        <w:t xml:space="preserve">consiste en la inyección </w:t>
      </w:r>
      <w:r w:rsidR="009421FD">
        <w:t xml:space="preserve">de </w:t>
      </w:r>
      <w:r w:rsidR="00732C0D">
        <w:t>urea, CH</w:t>
      </w:r>
      <w:r w:rsidR="00732C0D" w:rsidRPr="0091692F">
        <w:rPr>
          <w:vertAlign w:val="subscript"/>
        </w:rPr>
        <w:t>4</w:t>
      </w:r>
      <w:r w:rsidR="00732C0D">
        <w:t>N</w:t>
      </w:r>
      <w:r w:rsidR="00732C0D" w:rsidRPr="0091692F">
        <w:rPr>
          <w:vertAlign w:val="subscript"/>
        </w:rPr>
        <w:t>2</w:t>
      </w:r>
      <w:r w:rsidR="00732C0D">
        <w:t>O</w:t>
      </w:r>
      <w:r w:rsidR="00547951">
        <w:t>,</w:t>
      </w:r>
      <w:r w:rsidR="00732C0D">
        <w:t xml:space="preserve"> o amoníaco, NH</w:t>
      </w:r>
      <w:r w:rsidR="00732C0D" w:rsidRPr="0091692F">
        <w:rPr>
          <w:vertAlign w:val="subscript"/>
        </w:rPr>
        <w:t>3</w:t>
      </w:r>
      <w:r w:rsidR="00732C0D">
        <w:t xml:space="preserve">, </w:t>
      </w:r>
      <w:r w:rsidR="000E65EF">
        <w:t>en</w:t>
      </w:r>
      <w:r w:rsidR="00732C0D">
        <w:t xml:space="preserve"> la</w:t>
      </w:r>
      <w:r w:rsidR="000E65EF">
        <w:t xml:space="preserve"> primera</w:t>
      </w:r>
      <w:r w:rsidR="00732C0D">
        <w:t xml:space="preserve"> corriente de gases</w:t>
      </w:r>
      <w:r w:rsidR="000E65EF">
        <w:t xml:space="preserve"> de combustión</w:t>
      </w:r>
      <w:r w:rsidR="002E0EC3">
        <w:t xml:space="preserve"> a temperaturas que oscilan entre 900 y 1000°C</w:t>
      </w:r>
      <w:r w:rsidR="00D7498C">
        <w:t xml:space="preserve">; </w:t>
      </w:r>
      <w:r w:rsidR="00F83771">
        <w:t>con esto se previene la oxidación de NH</w:t>
      </w:r>
      <w:r w:rsidR="00F83771" w:rsidRPr="00F85B2E">
        <w:rPr>
          <w:vertAlign w:val="subscript"/>
        </w:rPr>
        <w:t>3</w:t>
      </w:r>
      <w:r w:rsidR="00075D35">
        <w:t xml:space="preserve"> </w:t>
      </w:r>
      <w:r w:rsidR="00F83771">
        <w:t>y la formación de NO</w:t>
      </w:r>
      <w:r w:rsidR="00F83771" w:rsidRPr="00F85B2E">
        <w:rPr>
          <w:vertAlign w:val="subscript"/>
        </w:rPr>
        <w:t>x</w:t>
      </w:r>
      <w:r w:rsidR="00F83771">
        <w:t xml:space="preserve"> térmico. A</w:t>
      </w:r>
      <w:r w:rsidR="00D7498C">
        <w:t>justando</w:t>
      </w:r>
      <w:r w:rsidR="000D6CBC">
        <w:t>,</w:t>
      </w:r>
      <w:r w:rsidR="00D7498C">
        <w:t xml:space="preserve"> además</w:t>
      </w:r>
      <w:r w:rsidR="000D6CBC">
        <w:t>,</w:t>
      </w:r>
      <w:r w:rsidR="00D7498C">
        <w:t xml:space="preserve"> el tiempo de residencia entre 0,2 y 0,5 s </w:t>
      </w:r>
      <w:r w:rsidR="00812ACC">
        <w:t>se asegura que las emisiones de N</w:t>
      </w:r>
      <w:r w:rsidR="00812ACC" w:rsidRPr="0091692F">
        <w:rPr>
          <w:vertAlign w:val="subscript"/>
        </w:rPr>
        <w:t>2</w:t>
      </w:r>
      <w:r w:rsidR="00812ACC">
        <w:t xml:space="preserve">O </w:t>
      </w:r>
      <w:r w:rsidR="00D60290">
        <w:t>sean</w:t>
      </w:r>
      <w:r w:rsidR="0091692F">
        <w:t xml:space="preserve"> menores al 2% del NO de entrada</w:t>
      </w:r>
      <w:r w:rsidR="00F83771">
        <w:t>.</w:t>
      </w:r>
      <w:r w:rsidR="007340A8">
        <w:t xml:space="preserve"> </w:t>
      </w:r>
      <w:r w:rsidR="00B7200B">
        <w:t>Los sistemas de limpieza con</w:t>
      </w:r>
      <w:r w:rsidR="007340A8">
        <w:t xml:space="preserve"> </w:t>
      </w:r>
      <w:r w:rsidR="00DC32F6">
        <w:t>tecnología de RCS</w:t>
      </w:r>
      <w:r w:rsidR="00163433">
        <w:t xml:space="preserve"> se instalan en la parte posterior del sistema de limpieza de gases.</w:t>
      </w:r>
      <w:r w:rsidR="00DC32F6">
        <w:t xml:space="preserve"> </w:t>
      </w:r>
      <w:r w:rsidR="00163433">
        <w:t>U</w:t>
      </w:r>
      <w:r w:rsidR="009E48E9">
        <w:t xml:space="preserve">tilizan </w:t>
      </w:r>
      <w:r w:rsidR="00DD7AB5">
        <w:t>la actividad catalítica de óxidos metálicos como V</w:t>
      </w:r>
      <w:r w:rsidR="00DD7AB5" w:rsidRPr="003C04A5">
        <w:rPr>
          <w:vertAlign w:val="subscript"/>
        </w:rPr>
        <w:t>2</w:t>
      </w:r>
      <w:r w:rsidR="00DD7AB5">
        <w:t>O</w:t>
      </w:r>
      <w:r w:rsidR="00DD7AB5" w:rsidRPr="003C04A5">
        <w:rPr>
          <w:vertAlign w:val="subscript"/>
        </w:rPr>
        <w:t>5</w:t>
      </w:r>
      <w:r w:rsidR="00DD7AB5">
        <w:t>, WO</w:t>
      </w:r>
      <w:r w:rsidR="00DD7AB5" w:rsidRPr="003C04A5">
        <w:rPr>
          <w:vertAlign w:val="subscript"/>
        </w:rPr>
        <w:t>3</w:t>
      </w:r>
      <w:r w:rsidR="00DD7AB5">
        <w:t xml:space="preserve">, </w:t>
      </w:r>
      <w:r w:rsidR="00A62A95">
        <w:t>MoO</w:t>
      </w:r>
      <w:r w:rsidR="00A62A95" w:rsidRPr="00817EA2">
        <w:rPr>
          <w:vertAlign w:val="subscript"/>
        </w:rPr>
        <w:t>3</w:t>
      </w:r>
      <w:r w:rsidR="00A62A95">
        <w:t xml:space="preserve"> para la reducción </w:t>
      </w:r>
      <w:r w:rsidR="00EB2A68">
        <w:t xml:space="preserve">de NO </w:t>
      </w:r>
      <w:r w:rsidR="003B5990">
        <w:t xml:space="preserve">por el </w:t>
      </w:r>
      <w:r w:rsidR="00007A5B" w:rsidRPr="00007A5B">
        <w:t>NH</w:t>
      </w:r>
      <w:r w:rsidR="00007A5B" w:rsidRPr="00794D59">
        <w:rPr>
          <w:vertAlign w:val="subscript"/>
        </w:rPr>
        <w:t>3</w:t>
      </w:r>
      <w:r w:rsidR="00007A5B">
        <w:t xml:space="preserve">. </w:t>
      </w:r>
      <w:r w:rsidR="0069569F">
        <w:t>Con el pasar de</w:t>
      </w:r>
      <w:r w:rsidR="001D362E">
        <w:t xml:space="preserve">l </w:t>
      </w:r>
      <w:r w:rsidR="0069569F">
        <w:t>tiempo l</w:t>
      </w:r>
      <w:r w:rsidR="00BA6696">
        <w:t xml:space="preserve">a temperatura de operación se ha </w:t>
      </w:r>
      <w:r w:rsidR="001D362E">
        <w:t>logrado disminuir progresivamente</w:t>
      </w:r>
      <w:r w:rsidR="00BA6696">
        <w:t xml:space="preserve"> del rango de </w:t>
      </w:r>
      <w:r w:rsidR="00794D59">
        <w:t>300-400°C</w:t>
      </w:r>
      <w:r w:rsidR="00007A5B">
        <w:t xml:space="preserve"> </w:t>
      </w:r>
      <w:r w:rsidR="00C72982" w:rsidRPr="00007A5B">
        <w:t>a</w:t>
      </w:r>
      <w:r w:rsidR="00C72982">
        <w:t xml:space="preserve"> </w:t>
      </w:r>
      <w:r w:rsidR="00351950">
        <w:t>valores</w:t>
      </w:r>
      <w:r w:rsidR="00C72982">
        <w:t xml:space="preserve"> alrededor de 160°C</w:t>
      </w:r>
      <w:r w:rsidR="009757DD">
        <w:t xml:space="preserve"> </w:t>
      </w:r>
      <w:r w:rsidR="00351950">
        <w:t xml:space="preserve">con eficiencias de </w:t>
      </w:r>
      <w:r w:rsidR="00E53328">
        <w:t>reducción de NO</w:t>
      </w:r>
      <w:r w:rsidR="00E53328" w:rsidRPr="00E53328">
        <w:rPr>
          <w:vertAlign w:val="subscript"/>
        </w:rPr>
        <w:t>x</w:t>
      </w:r>
      <w:r w:rsidR="00E53328">
        <w:t xml:space="preserve"> alrededor de </w:t>
      </w:r>
      <w:r w:rsidR="00351950">
        <w:t>90%</w:t>
      </w:r>
      <w:r w:rsidR="001A3FAA">
        <w:t xml:space="preserve"> </w:t>
      </w:r>
      <w:r w:rsidR="009757DD">
        <w:t>[</w:t>
      </w:r>
      <w:r w:rsidR="001A3FAA">
        <w:t>37</w:t>
      </w:r>
      <w:r w:rsidR="009757DD">
        <w:t>]</w:t>
      </w:r>
      <w:r w:rsidR="00D66E6A">
        <w:t xml:space="preserve">. </w:t>
      </w:r>
      <w:r w:rsidR="00D84C97">
        <w:t>Un</w:t>
      </w:r>
      <w:r w:rsidR="0044001B">
        <w:t xml:space="preserve"> adsorbedor de carbono suele cerrar la etapa final del proceso de limpieza</w:t>
      </w:r>
      <w:r w:rsidR="00D8403A">
        <w:t>, removiendo el mercurio</w:t>
      </w:r>
      <w:r w:rsidR="00AD4448">
        <w:t xml:space="preserve"> y restos de compuestos orgánicos</w:t>
      </w:r>
      <w:r w:rsidR="00BB4D04">
        <w:t xml:space="preserve"> como PCDD/F</w:t>
      </w:r>
      <w:r w:rsidR="00327056">
        <w:t xml:space="preserve">, dibenzo dioxinas y furanos </w:t>
      </w:r>
      <w:r w:rsidR="001655D9">
        <w:t>policlorinados</w:t>
      </w:r>
      <w:r w:rsidR="00BE2C5D">
        <w:t>,</w:t>
      </w:r>
      <w:r w:rsidR="00BB4D04">
        <w:t xml:space="preserve"> y P</w:t>
      </w:r>
      <w:r w:rsidR="00494645">
        <w:t>BDD/F</w:t>
      </w:r>
      <w:r w:rsidR="001655D9">
        <w:t>, dibenzo dioxinas y furanos polibromados</w:t>
      </w:r>
      <w:r w:rsidR="000C0503">
        <w:t xml:space="preserve"> [</w:t>
      </w:r>
      <w:r w:rsidR="001A3FAA">
        <w:t>34]</w:t>
      </w:r>
      <w:r w:rsidR="000C0503">
        <w:t xml:space="preserve">, </w:t>
      </w:r>
      <w:r w:rsidR="001A3FAA">
        <w:t>[28</w:t>
      </w:r>
      <w:r w:rsidR="000C0503">
        <w:t>]</w:t>
      </w:r>
      <w:r w:rsidR="00C7069C">
        <w:t>.</w:t>
      </w:r>
    </w:p>
    <w:p w14:paraId="6A8DAFFB" w14:textId="55B6CF6F" w:rsidR="00C7069C" w:rsidRDefault="007B3AF3" w:rsidP="00D774C3">
      <w:r>
        <w:t>El consumo energético de los equipos dedicados a este proceso promedia</w:t>
      </w:r>
      <w:r w:rsidR="00ED6485">
        <w:t xml:space="preserve"> en </w:t>
      </w:r>
      <w:r w:rsidR="00852949">
        <w:t>107</w:t>
      </w:r>
      <w:r w:rsidR="00ED6485">
        <w:t xml:space="preserve"> </w:t>
      </w:r>
      <w:r w:rsidR="00852949">
        <w:t>k</w:t>
      </w:r>
      <w:r w:rsidR="00ED6485">
        <w:t>W</w:t>
      </w:r>
      <w:r w:rsidR="00ED6485" w:rsidRPr="00FA4077">
        <w:rPr>
          <w:vertAlign w:val="subscript"/>
        </w:rPr>
        <w:t>e</w:t>
      </w:r>
      <w:r w:rsidR="00613125">
        <w:t>/t</w:t>
      </w:r>
      <w:r w:rsidR="00613125" w:rsidRPr="00613125">
        <w:rPr>
          <w:vertAlign w:val="subscript"/>
        </w:rPr>
        <w:t>RSU</w:t>
      </w:r>
      <w:r w:rsidR="00ED6485">
        <w:t xml:space="preserve"> </w:t>
      </w:r>
      <w:r w:rsidR="006C2094">
        <w:t xml:space="preserve">y 505 </w:t>
      </w:r>
      <w:r w:rsidR="00CE5635">
        <w:t>k</w:t>
      </w:r>
      <w:r w:rsidR="006C2094">
        <w:t>W</w:t>
      </w:r>
      <w:r w:rsidR="004B30E6" w:rsidRPr="00FA4077">
        <w:rPr>
          <w:vertAlign w:val="subscript"/>
        </w:rPr>
        <w:t>t</w:t>
      </w:r>
      <w:r w:rsidR="006C2094" w:rsidRPr="00FA4077">
        <w:rPr>
          <w:vertAlign w:val="subscript"/>
        </w:rPr>
        <w:t>h</w:t>
      </w:r>
      <w:r w:rsidR="00613125">
        <w:t>/t</w:t>
      </w:r>
      <w:r w:rsidR="00613125" w:rsidRPr="00613125">
        <w:rPr>
          <w:vertAlign w:val="subscript"/>
        </w:rPr>
        <w:t>RSU</w:t>
      </w:r>
      <w:r w:rsidR="006C2094">
        <w:t xml:space="preserve"> </w:t>
      </w:r>
      <w:r w:rsidR="0093162A">
        <w:t>en cuanto a electricidad y calor, respectivamente [</w:t>
      </w:r>
      <w:r w:rsidR="001A3FAA">
        <w:t>28</w:t>
      </w:r>
      <w:r w:rsidR="0093162A">
        <w:t>]</w:t>
      </w:r>
      <w:r w:rsidR="001A3FAA">
        <w:t>.</w:t>
      </w:r>
    </w:p>
    <w:p w14:paraId="4038ADF7" w14:textId="62FC831B" w:rsidR="00F87B55" w:rsidRDefault="00F87B55" w:rsidP="00F87B55">
      <w:pPr>
        <w:pStyle w:val="Ttulo3"/>
        <w:rPr>
          <w:lang w:val="es-CL"/>
        </w:rPr>
      </w:pPr>
      <w:r>
        <w:rPr>
          <w:lang w:val="es-CL"/>
        </w:rPr>
        <w:t>Otras emisiones</w:t>
      </w:r>
    </w:p>
    <w:p w14:paraId="0C3E900F" w14:textId="635E57E5" w:rsidR="00F87B55" w:rsidRDefault="00F87B55" w:rsidP="00F87B55">
      <w:pPr>
        <w:rPr>
          <w:lang w:val="es-CL"/>
        </w:rPr>
      </w:pPr>
      <w:r>
        <w:rPr>
          <w:lang w:val="es-CL"/>
        </w:rPr>
        <w:t xml:space="preserve">Aparte de las emisiones </w:t>
      </w:r>
      <w:r w:rsidR="00427DFA">
        <w:rPr>
          <w:lang w:val="es-CL"/>
        </w:rPr>
        <w:t xml:space="preserve">al aire, </w:t>
      </w:r>
      <w:r w:rsidR="00AA3830">
        <w:rPr>
          <w:lang w:val="es-CL"/>
        </w:rPr>
        <w:t xml:space="preserve">se pueden generar </w:t>
      </w:r>
      <w:r w:rsidR="00427DFA">
        <w:rPr>
          <w:lang w:val="es-CL"/>
        </w:rPr>
        <w:t>emisiones de contaminantes al agua</w:t>
      </w:r>
      <w:r w:rsidR="00C8497B">
        <w:rPr>
          <w:lang w:val="es-CL"/>
        </w:rPr>
        <w:t xml:space="preserve"> debido a los efluentes del proceso de limpieza de gases</w:t>
      </w:r>
      <w:r w:rsidR="00427DFA">
        <w:rPr>
          <w:lang w:val="es-CL"/>
        </w:rPr>
        <w:t xml:space="preserve"> y </w:t>
      </w:r>
      <w:r w:rsidR="006658D9">
        <w:rPr>
          <w:lang w:val="es-CL"/>
        </w:rPr>
        <w:t>residuos</w:t>
      </w:r>
      <w:r w:rsidR="00427DFA">
        <w:rPr>
          <w:lang w:val="es-CL"/>
        </w:rPr>
        <w:t xml:space="preserve"> sólidos </w:t>
      </w:r>
      <w:r w:rsidR="006658D9">
        <w:rPr>
          <w:lang w:val="es-CL"/>
        </w:rPr>
        <w:t>conformados por cenizas</w:t>
      </w:r>
      <w:r w:rsidR="00CD2034">
        <w:rPr>
          <w:lang w:val="es-CL"/>
        </w:rPr>
        <w:t xml:space="preserve"> depositadas, cenizas volátiles </w:t>
      </w:r>
      <w:r w:rsidR="00376370">
        <w:rPr>
          <w:lang w:val="es-CL"/>
        </w:rPr>
        <w:t>y escorias.</w:t>
      </w:r>
    </w:p>
    <w:p w14:paraId="0B33E69F" w14:textId="4ABF8EC3" w:rsidR="009136BB" w:rsidRDefault="0063608B" w:rsidP="0063608B">
      <w:pPr>
        <w:pStyle w:val="Ttulo3"/>
        <w:rPr>
          <w:lang w:val="es-CL"/>
        </w:rPr>
      </w:pPr>
      <w:r>
        <w:rPr>
          <w:lang w:val="es-CL"/>
        </w:rPr>
        <w:t xml:space="preserve">Índice de </w:t>
      </w:r>
      <w:r w:rsidR="00096456">
        <w:rPr>
          <w:lang w:val="es-CL"/>
        </w:rPr>
        <w:t>eficiencia energética</w:t>
      </w:r>
      <w:r>
        <w:rPr>
          <w:lang w:val="es-CL"/>
        </w:rPr>
        <w:t>, R1</w:t>
      </w:r>
    </w:p>
    <w:p w14:paraId="797FF919" w14:textId="76A6DAAA" w:rsidR="00750BAE" w:rsidRDefault="005772E6" w:rsidP="00750BAE">
      <w:pPr>
        <w:rPr>
          <w:lang w:val="es-CL"/>
        </w:rPr>
      </w:pPr>
      <w:r>
        <w:rPr>
          <w:lang w:val="es-CL"/>
        </w:rPr>
        <w:t xml:space="preserve">Este </w:t>
      </w:r>
      <w:r w:rsidR="00096456">
        <w:rPr>
          <w:lang w:val="es-CL"/>
        </w:rPr>
        <w:t>índice</w:t>
      </w:r>
      <w:r>
        <w:rPr>
          <w:lang w:val="es-CL"/>
        </w:rPr>
        <w:t xml:space="preserve"> </w:t>
      </w:r>
      <w:r w:rsidR="003A744A">
        <w:rPr>
          <w:lang w:val="es-CL"/>
        </w:rPr>
        <w:t xml:space="preserve">establece si una planta de </w:t>
      </w:r>
      <w:r w:rsidR="00E51F42">
        <w:rPr>
          <w:lang w:val="es-CL"/>
        </w:rPr>
        <w:t xml:space="preserve">incineración de residuos se clasifica como planta de recuperación de energía, o bien, </w:t>
      </w:r>
      <w:r w:rsidR="00737536">
        <w:rPr>
          <w:lang w:val="es-CL"/>
        </w:rPr>
        <w:t xml:space="preserve">una planta de </w:t>
      </w:r>
      <w:r w:rsidR="00452D85">
        <w:rPr>
          <w:lang w:val="es-CL"/>
        </w:rPr>
        <w:t>eliminación</w:t>
      </w:r>
      <w:r w:rsidR="004221BF">
        <w:rPr>
          <w:lang w:val="es-CL"/>
        </w:rPr>
        <w:t xml:space="preserve"> de residuos</w:t>
      </w:r>
      <w:r w:rsidR="00B46D93">
        <w:rPr>
          <w:lang w:val="es-CL"/>
        </w:rPr>
        <w:t xml:space="preserve"> </w:t>
      </w:r>
      <w:r w:rsidR="00682151">
        <w:rPr>
          <w:lang w:val="es-CL"/>
        </w:rPr>
        <w:t>[38]</w:t>
      </w:r>
      <w:r w:rsidR="004221BF">
        <w:rPr>
          <w:lang w:val="es-CL"/>
        </w:rPr>
        <w:t xml:space="preserve">. Para ello se emplea el siguiente indicador, ecuación </w:t>
      </w:r>
      <w:r w:rsidR="00F51D65">
        <w:rPr>
          <w:lang w:val="es-CL"/>
        </w:rPr>
        <w:fldChar w:fldCharType="begin"/>
      </w:r>
      <w:r w:rsidR="00F51D65">
        <w:rPr>
          <w:lang w:val="es-CL"/>
        </w:rPr>
        <w:instrText xml:space="preserve"> REF _Ref113994706 \h </w:instrText>
      </w:r>
      <w:r w:rsidR="00F51D65">
        <w:rPr>
          <w:lang w:val="es-CL"/>
        </w:rPr>
      </w:r>
      <w:r w:rsidR="00F51D65">
        <w:rPr>
          <w:lang w:val="es-CL"/>
        </w:rPr>
        <w:fldChar w:fldCharType="separate"/>
      </w:r>
      <w:r w:rsidR="0097664D" w:rsidRPr="005F7449">
        <w:t>(</w:t>
      </w:r>
      <w:r w:rsidR="0097664D">
        <w:rPr>
          <w:noProof/>
        </w:rPr>
        <w:t>18</w:t>
      </w:r>
      <w:r w:rsidR="00F51D65">
        <w:rPr>
          <w:lang w:val="es-CL"/>
        </w:rPr>
        <w:fldChar w:fldCharType="end"/>
      </w:r>
      <w:r w:rsidR="0097664D">
        <w:rPr>
          <w:lang w:val="es-CL"/>
        </w:rPr>
        <w:t>)</w:t>
      </w:r>
      <w:r w:rsidR="004221BF">
        <w:rPr>
          <w:lang w:val="es-CL"/>
        </w:rPr>
        <w:t>:</w:t>
      </w:r>
    </w:p>
    <w:tbl>
      <w:tblPr>
        <w:tblStyle w:val="Tablaconcuadrcula"/>
        <w:tblW w:w="4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7"/>
        <w:gridCol w:w="566"/>
      </w:tblGrid>
      <w:tr w:rsidR="004221BF" w:rsidRPr="005F7449" w14:paraId="182E07A7" w14:textId="77777777" w:rsidTr="00F36715">
        <w:tc>
          <w:tcPr>
            <w:tcW w:w="3937" w:type="dxa"/>
            <w:vAlign w:val="center"/>
          </w:tcPr>
          <w:p w14:paraId="4F94EB59" w14:textId="0AC7AC71" w:rsidR="004221BF" w:rsidRPr="005F7449" w:rsidRDefault="005F7449" w:rsidP="00155FD7">
            <w:pPr>
              <w:spacing w:before="120" w:after="120"/>
              <w:jc w:val="right"/>
            </w:pPr>
            <m:oMathPara>
              <m:oMath>
                <m:r>
                  <m:rPr>
                    <m:sty m:val="p"/>
                  </m:rPr>
                  <w:rPr>
                    <w:rFonts w:ascii="Cambria Math" w:hAnsi="Cambria Math"/>
                  </w:rPr>
                  <m:t>R1=</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E</m:t>
                            </m:r>
                          </m:e>
                          <m:sub>
                            <m:r>
                              <m:rPr>
                                <m:sty m:val="p"/>
                              </m:rPr>
                              <w:rPr>
                                <w:rFonts w:ascii="Cambria Math" w:hAnsi="Cambria Math"/>
                              </w:rPr>
                              <m:t>p</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E</m:t>
                                </m:r>
                              </m:e>
                              <m:sub>
                                <m:r>
                                  <m:rPr>
                                    <m:sty m:val="p"/>
                                  </m:rPr>
                                  <w:rPr>
                                    <w:rFonts w:ascii="Cambria Math" w:hAnsi="Cambria Math"/>
                                  </w:rPr>
                                  <m:t>f</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i</m:t>
                                </m:r>
                              </m:sub>
                            </m:sSub>
                          </m:e>
                        </m:d>
                      </m:e>
                    </m:d>
                  </m:num>
                  <m:den>
                    <m:r>
                      <m:rPr>
                        <m:sty m:val="p"/>
                      </m:rPr>
                      <w:rPr>
                        <w:rFonts w:ascii="Cambria Math" w:hAnsi="Cambria Math"/>
                      </w:rPr>
                      <m:t>0,97∙</m:t>
                    </m:r>
                    <m:d>
                      <m:dPr>
                        <m:ctrlPr>
                          <w:rPr>
                            <w:rFonts w:ascii="Cambria Math" w:hAnsi="Cambria Math"/>
                          </w:rPr>
                        </m:ctrlPr>
                      </m:dPr>
                      <m:e>
                        <m:sSub>
                          <m:sSubPr>
                            <m:ctrlPr>
                              <w:rPr>
                                <w:rFonts w:ascii="Cambria Math" w:hAnsi="Cambria Math"/>
                              </w:rPr>
                            </m:ctrlPr>
                          </m:sSubPr>
                          <m:e>
                            <m:r>
                              <m:rPr>
                                <m:sty m:val="p"/>
                              </m:rPr>
                              <w:rPr>
                                <w:rFonts w:ascii="Cambria Math" w:hAnsi="Cambria Math"/>
                              </w:rPr>
                              <m:t>E</m:t>
                            </m:r>
                          </m:e>
                          <m:sub>
                            <m:r>
                              <m:rPr>
                                <m:sty m:val="p"/>
                              </m:rPr>
                              <w:rPr>
                                <w:rFonts w:ascii="Cambria Math" w:hAnsi="Cambria Math"/>
                              </w:rPr>
                              <m:t>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f</m:t>
                            </m:r>
                          </m:sub>
                        </m:sSub>
                      </m:e>
                    </m:d>
                  </m:den>
                </m:f>
              </m:oMath>
            </m:oMathPara>
          </w:p>
        </w:tc>
        <w:tc>
          <w:tcPr>
            <w:tcW w:w="566" w:type="dxa"/>
            <w:vAlign w:val="center"/>
          </w:tcPr>
          <w:p w14:paraId="1F1588CE" w14:textId="2D47298B" w:rsidR="004221BF" w:rsidRPr="005F7449" w:rsidRDefault="004221BF" w:rsidP="00155FD7">
            <w:pPr>
              <w:pStyle w:val="Descripcin"/>
              <w:jc w:val="right"/>
              <w:rPr>
                <w:szCs w:val="20"/>
              </w:rPr>
            </w:pPr>
            <w:bookmarkStart w:id="28" w:name="_Ref113994706"/>
            <w:r w:rsidRPr="005F7449">
              <w:rPr>
                <w:szCs w:val="20"/>
              </w:rPr>
              <w:t>(</w:t>
            </w:r>
            <w:r w:rsidRPr="005F7449">
              <w:rPr>
                <w:szCs w:val="20"/>
              </w:rPr>
              <w:fldChar w:fldCharType="begin"/>
            </w:r>
            <w:r w:rsidRPr="005F7449">
              <w:rPr>
                <w:szCs w:val="20"/>
              </w:rPr>
              <w:instrText xml:space="preserve"> SEQ Ecuación \* ARABIC </w:instrText>
            </w:r>
            <w:r w:rsidRPr="005F7449">
              <w:rPr>
                <w:szCs w:val="20"/>
              </w:rPr>
              <w:fldChar w:fldCharType="separate"/>
            </w:r>
            <w:r w:rsidR="0097664D">
              <w:rPr>
                <w:noProof/>
                <w:szCs w:val="20"/>
              </w:rPr>
              <w:t>18</w:t>
            </w:r>
            <w:r w:rsidRPr="005F7449">
              <w:rPr>
                <w:noProof/>
                <w:szCs w:val="20"/>
              </w:rPr>
              <w:fldChar w:fldCharType="end"/>
            </w:r>
            <w:bookmarkEnd w:id="28"/>
            <w:r w:rsidRPr="005F7449">
              <w:rPr>
                <w:szCs w:val="20"/>
              </w:rPr>
              <w:t>)</w:t>
            </w:r>
          </w:p>
        </w:tc>
      </w:tr>
    </w:tbl>
    <w:p w14:paraId="4C090FC7" w14:textId="61E44BBB" w:rsidR="004221BF" w:rsidRDefault="003B0ED1" w:rsidP="00750BAE">
      <w:pPr>
        <w:rPr>
          <w:lang w:val="es-CL"/>
        </w:rPr>
      </w:pPr>
      <w:r>
        <w:rPr>
          <w:lang w:val="es-CL"/>
        </w:rPr>
        <w:t>E</w:t>
      </w:r>
      <w:r w:rsidRPr="00225B95">
        <w:rPr>
          <w:vertAlign w:val="subscript"/>
          <w:lang w:val="es-CL"/>
        </w:rPr>
        <w:t>p</w:t>
      </w:r>
      <w:r>
        <w:rPr>
          <w:lang w:val="es-CL"/>
        </w:rPr>
        <w:t xml:space="preserve"> </w:t>
      </w:r>
      <w:r w:rsidR="007833C4">
        <w:rPr>
          <w:lang w:val="es-CL"/>
        </w:rPr>
        <w:t>es la energía anual producida como calor o electricidad</w:t>
      </w:r>
      <w:r w:rsidR="00275E45">
        <w:rPr>
          <w:lang w:val="es-CL"/>
        </w:rPr>
        <w:t xml:space="preserve"> (GJ/año)</w:t>
      </w:r>
      <w:r w:rsidR="00EF01B1">
        <w:rPr>
          <w:lang w:val="es-CL"/>
        </w:rPr>
        <w:t xml:space="preserve"> ponderando </w:t>
      </w:r>
      <w:r w:rsidR="00F22EBC">
        <w:rPr>
          <w:lang w:val="es-CL"/>
        </w:rPr>
        <w:t xml:space="preserve">con 2,6 </w:t>
      </w:r>
      <w:r w:rsidR="005E27C5">
        <w:rPr>
          <w:lang w:val="es-CL"/>
        </w:rPr>
        <w:t>la electricidad generada y 1,1 el calor producido</w:t>
      </w:r>
      <w:r w:rsidR="00494A04">
        <w:rPr>
          <w:lang w:val="es-CL"/>
        </w:rPr>
        <w:t xml:space="preserve">, </w:t>
      </w:r>
      <w:r w:rsidR="00736E1B">
        <w:rPr>
          <w:lang w:val="es-CL"/>
        </w:rPr>
        <w:t>E</w:t>
      </w:r>
      <w:r w:rsidR="00736E1B" w:rsidRPr="00467BA7">
        <w:rPr>
          <w:vertAlign w:val="subscript"/>
          <w:lang w:val="es-CL"/>
        </w:rPr>
        <w:t>f</w:t>
      </w:r>
      <w:r w:rsidR="00736E1B">
        <w:rPr>
          <w:lang w:val="es-CL"/>
        </w:rPr>
        <w:t xml:space="preserve"> es el aporte anual de energía al sistema desde los combustibles </w:t>
      </w:r>
      <w:r w:rsidR="00B452A2">
        <w:rPr>
          <w:lang w:val="es-CL"/>
        </w:rPr>
        <w:t>que contribuyen a la producción de vapor (GJ/año), E</w:t>
      </w:r>
      <w:r w:rsidR="00B452A2" w:rsidRPr="00467BA7">
        <w:rPr>
          <w:vertAlign w:val="subscript"/>
          <w:lang w:val="es-CL"/>
        </w:rPr>
        <w:t>w</w:t>
      </w:r>
      <w:r w:rsidR="00B452A2">
        <w:rPr>
          <w:lang w:val="es-CL"/>
        </w:rPr>
        <w:t xml:space="preserve"> es la energía </w:t>
      </w:r>
      <w:r w:rsidR="004D2074">
        <w:rPr>
          <w:lang w:val="es-CL"/>
        </w:rPr>
        <w:t xml:space="preserve">anual </w:t>
      </w:r>
      <w:r w:rsidR="00B452A2">
        <w:rPr>
          <w:lang w:val="es-CL"/>
        </w:rPr>
        <w:t xml:space="preserve">contenida </w:t>
      </w:r>
      <w:r w:rsidR="004D2074">
        <w:rPr>
          <w:lang w:val="es-CL"/>
        </w:rPr>
        <w:t>en los residuos tratados utilizando el poder calorífico de los mismos</w:t>
      </w:r>
      <w:r w:rsidR="009D48FF">
        <w:rPr>
          <w:lang w:val="es-CL"/>
        </w:rPr>
        <w:t xml:space="preserve"> (GJ/año), E</w:t>
      </w:r>
      <w:r w:rsidR="009D48FF" w:rsidRPr="00467BA7">
        <w:rPr>
          <w:vertAlign w:val="subscript"/>
          <w:lang w:val="es-CL"/>
        </w:rPr>
        <w:t>i</w:t>
      </w:r>
      <w:r w:rsidR="009D48FF">
        <w:rPr>
          <w:lang w:val="es-CL"/>
        </w:rPr>
        <w:t xml:space="preserve"> es la energía anual importada que excluye</w:t>
      </w:r>
      <w:r w:rsidR="00BC3F58">
        <w:rPr>
          <w:lang w:val="es-CL"/>
        </w:rPr>
        <w:t xml:space="preserve"> a E</w:t>
      </w:r>
      <w:r w:rsidR="00BC3F58" w:rsidRPr="00467BA7">
        <w:rPr>
          <w:vertAlign w:val="subscript"/>
          <w:lang w:val="es-CL"/>
        </w:rPr>
        <w:t>w</w:t>
      </w:r>
      <w:r w:rsidR="00BC3F58">
        <w:rPr>
          <w:lang w:val="es-CL"/>
        </w:rPr>
        <w:t xml:space="preserve"> y E</w:t>
      </w:r>
      <w:r w:rsidR="00BC3F58" w:rsidRPr="00467BA7">
        <w:rPr>
          <w:vertAlign w:val="subscript"/>
          <w:lang w:val="es-CL"/>
        </w:rPr>
        <w:t>f</w:t>
      </w:r>
      <w:r w:rsidR="00BC3F58">
        <w:rPr>
          <w:lang w:val="es-CL"/>
        </w:rPr>
        <w:t xml:space="preserve"> (GJ/año) y 0,97 representa las pérdidas </w:t>
      </w:r>
      <w:r w:rsidR="00225B95">
        <w:rPr>
          <w:lang w:val="es-CL"/>
        </w:rPr>
        <w:t>de energía debidas a las cenizas depositadas en el fondo y la radiación.</w:t>
      </w:r>
      <w:r w:rsidR="00042EDC">
        <w:rPr>
          <w:lang w:val="es-CL"/>
        </w:rPr>
        <w:t xml:space="preserve"> </w:t>
      </w:r>
      <w:r w:rsidR="00981E33">
        <w:rPr>
          <w:lang w:val="es-CL"/>
        </w:rPr>
        <w:t>Para nuevas plantas el índice debe ser superior a 0,65.</w:t>
      </w:r>
    </w:p>
    <w:p w14:paraId="64EA05A4" w14:textId="4B32E8FB" w:rsidR="000D5F99" w:rsidRDefault="000D5F99" w:rsidP="00960B8F">
      <w:pPr>
        <w:pStyle w:val="Ttulo1"/>
      </w:pPr>
      <w:r>
        <w:t xml:space="preserve">Resultados </w:t>
      </w:r>
    </w:p>
    <w:p w14:paraId="77528324" w14:textId="08B09A69" w:rsidR="00791749" w:rsidRDefault="00EF7E2E" w:rsidP="000D5F99">
      <w:r>
        <w:t>Con l</w:t>
      </w:r>
      <w:r w:rsidR="005E73EE">
        <w:t xml:space="preserve">a información de la </w:t>
      </w:r>
      <w:r w:rsidR="00C664C5">
        <w:fldChar w:fldCharType="begin"/>
      </w:r>
      <w:r w:rsidR="00C664C5">
        <w:instrText xml:space="preserve"> REF _Ref110488414 \h </w:instrText>
      </w:r>
      <w:r w:rsidR="00C664C5">
        <w:fldChar w:fldCharType="separate"/>
      </w:r>
      <w:r w:rsidR="00C664C5" w:rsidRPr="00DA255A">
        <w:rPr>
          <w:sz w:val="18"/>
          <w:szCs w:val="16"/>
        </w:rPr>
        <w:t>Tabla 5</w:t>
      </w:r>
      <w:r w:rsidR="00C664C5">
        <w:fldChar w:fldCharType="end"/>
      </w:r>
      <w:r w:rsidR="00F052AD">
        <w:t>,</w:t>
      </w:r>
      <w:r w:rsidR="00C664C5">
        <w:t xml:space="preserve"> las </w:t>
      </w:r>
      <w:r w:rsidR="00CF57B3">
        <w:t xml:space="preserve">expresiones </w:t>
      </w:r>
      <w:r w:rsidR="00CF57B3">
        <w:fldChar w:fldCharType="begin"/>
      </w:r>
      <w:r w:rsidR="00CF57B3">
        <w:instrText xml:space="preserve"> REF _Ref108552396 \h </w:instrText>
      </w:r>
      <w:r w:rsidR="00CF57B3">
        <w:fldChar w:fldCharType="separate"/>
      </w:r>
      <w:r w:rsidR="00CF57B3">
        <w:rPr>
          <w:noProof/>
        </w:rPr>
        <w:t>4</w:t>
      </w:r>
      <w:r w:rsidR="00CF57B3">
        <w:fldChar w:fldCharType="end"/>
      </w:r>
      <w:r w:rsidR="0001711F">
        <w:t xml:space="preserve"> a </w:t>
      </w:r>
      <w:r w:rsidR="00CF57B3">
        <w:fldChar w:fldCharType="begin"/>
      </w:r>
      <w:r w:rsidR="00CF57B3">
        <w:instrText xml:space="preserve"> REF _Ref110282152 \h </w:instrText>
      </w:r>
      <w:r w:rsidR="00CF57B3">
        <w:fldChar w:fldCharType="separate"/>
      </w:r>
      <w:r w:rsidR="0001711F">
        <w:rPr>
          <w:noProof/>
        </w:rPr>
        <w:t>17</w:t>
      </w:r>
      <w:r w:rsidR="00CF57B3">
        <w:fldChar w:fldCharType="end"/>
      </w:r>
      <w:r w:rsidR="00D37151">
        <w:t xml:space="preserve"> y </w:t>
      </w:r>
      <w:r w:rsidR="00F052AD">
        <w:t xml:space="preserve">descontando </w:t>
      </w:r>
      <w:r w:rsidR="00D37151">
        <w:t>los consumos de los s</w:t>
      </w:r>
      <w:r w:rsidR="00646A99">
        <w:t>istemas de limpieza de gases</w:t>
      </w:r>
      <w:r w:rsidR="00F052AD">
        <w:t xml:space="preserve"> de la ecuación </w:t>
      </w:r>
      <w:r w:rsidR="00F052AD">
        <w:fldChar w:fldCharType="begin"/>
      </w:r>
      <w:r w:rsidR="00F052AD">
        <w:instrText xml:space="preserve"> REF _Ref108556017 \h </w:instrText>
      </w:r>
      <w:r w:rsidR="00F052AD">
        <w:fldChar w:fldCharType="separate"/>
      </w:r>
      <w:r w:rsidR="00F052AD">
        <w:t>(</w:t>
      </w:r>
      <w:r w:rsidR="00F052AD">
        <w:rPr>
          <w:noProof/>
        </w:rPr>
        <w:t>13</w:t>
      </w:r>
      <w:r w:rsidR="00F052AD">
        <w:t>)</w:t>
      </w:r>
      <w:r w:rsidR="00F052AD">
        <w:fldChar w:fldCharType="end"/>
      </w:r>
      <w:r w:rsidR="00646A99">
        <w:t>,</w:t>
      </w:r>
      <w:r w:rsidR="00CF57B3">
        <w:t xml:space="preserve"> </w:t>
      </w:r>
      <w:r>
        <w:t xml:space="preserve">se modeló el </w:t>
      </w:r>
      <w:r>
        <w:t>funcionamiento de la planta</w:t>
      </w:r>
      <w:r w:rsidR="00E80BBA">
        <w:t xml:space="preserve">. </w:t>
      </w:r>
      <w:r w:rsidR="00C523C8">
        <w:t xml:space="preserve">Las </w:t>
      </w:r>
      <w:r w:rsidR="00533D41">
        <w:t xml:space="preserve">figuras 4 y 5 resumen el comportamiento. </w:t>
      </w:r>
      <w:r w:rsidR="00F775EC">
        <w:t>Para los meses de invierno, c</w:t>
      </w:r>
      <w:r w:rsidR="0001220B">
        <w:t xml:space="preserve">analizando exclusivamente </w:t>
      </w:r>
      <w:r w:rsidR="00791749">
        <w:t>el calor al distrito de calefacción se aportaría</w:t>
      </w:r>
      <w:r w:rsidR="00A15C51">
        <w:t xml:space="preserve"> algo más de</w:t>
      </w:r>
      <w:r w:rsidR="00791749">
        <w:t xml:space="preserve"> </w:t>
      </w:r>
      <w:r w:rsidR="00E72E11">
        <w:t>35,8</w:t>
      </w:r>
      <w:r w:rsidR="00CB240E">
        <w:t xml:space="preserve"> MW</w:t>
      </w:r>
      <w:r w:rsidR="00036A30" w:rsidRPr="00AF094D">
        <w:rPr>
          <w:vertAlign w:val="subscript"/>
        </w:rPr>
        <w:t>th</w:t>
      </w:r>
      <w:r w:rsidR="0027573B">
        <w:t xml:space="preserve"> y generaría</w:t>
      </w:r>
      <w:r w:rsidR="00D65AD3">
        <w:t>n</w:t>
      </w:r>
      <w:r w:rsidR="0027573B">
        <w:t xml:space="preserve"> </w:t>
      </w:r>
      <w:r w:rsidR="004F56E4">
        <w:t>2,23</w:t>
      </w:r>
      <w:r w:rsidR="0027573B">
        <w:t xml:space="preserve"> </w:t>
      </w:r>
      <w:r w:rsidR="004F56E4">
        <w:t>M</w:t>
      </w:r>
      <w:r w:rsidR="0027573B">
        <w:t>W</w:t>
      </w:r>
      <w:r w:rsidR="0027573B" w:rsidRPr="00AF094D">
        <w:rPr>
          <w:vertAlign w:val="subscript"/>
        </w:rPr>
        <w:t>e</w:t>
      </w:r>
      <w:r w:rsidR="0027573B">
        <w:t xml:space="preserve">; la eficiencia térmica, </w:t>
      </w:r>
      <w:r w:rsidR="00FC4A88">
        <w:rPr>
          <w:rFonts w:ascii="Arial" w:hAnsi="Arial" w:cs="Arial"/>
        </w:rPr>
        <w:t>η</w:t>
      </w:r>
      <w:r w:rsidR="00FC4A88" w:rsidRPr="00FC4A88">
        <w:rPr>
          <w:vertAlign w:val="subscript"/>
        </w:rPr>
        <w:t>th</w:t>
      </w:r>
      <w:r w:rsidR="00FC4A88">
        <w:t xml:space="preserve">, </w:t>
      </w:r>
      <w:r w:rsidR="00E72E11">
        <w:t>sería</w:t>
      </w:r>
      <w:r w:rsidR="00FC4A88">
        <w:t xml:space="preserve"> de </w:t>
      </w:r>
      <w:r w:rsidR="004F56E4">
        <w:t>91</w:t>
      </w:r>
      <w:r w:rsidR="00B1595D">
        <w:t xml:space="preserve">% y la termodinámica, </w:t>
      </w:r>
      <w:r w:rsidR="00B1595D" w:rsidRPr="00E40E49">
        <w:rPr>
          <w:rFonts w:cs="Times New Roman"/>
        </w:rPr>
        <w:t>η</w:t>
      </w:r>
      <w:r w:rsidR="008F2200">
        <w:t xml:space="preserve">, de </w:t>
      </w:r>
      <w:r w:rsidR="00B45E4E">
        <w:t>5,6</w:t>
      </w:r>
      <w:r w:rsidR="008F2200">
        <w:t xml:space="preserve">%. </w:t>
      </w:r>
      <w:r w:rsidR="00B027A6">
        <w:t xml:space="preserve">Al incrementar la proporción que alimenta </w:t>
      </w:r>
      <w:r w:rsidR="00D772C0">
        <w:t>al circuito de recalentamiento y de generación en la turbina de baja presión</w:t>
      </w:r>
      <w:r w:rsidR="00D65AD3">
        <w:t>, apropiado para los meses de verano,</w:t>
      </w:r>
      <w:r w:rsidR="00D772C0">
        <w:t xml:space="preserve"> la eficiencia térmica decae</w:t>
      </w:r>
      <w:r w:rsidR="00D65AD3">
        <w:t>ría</w:t>
      </w:r>
      <w:r w:rsidR="00D772C0">
        <w:t xml:space="preserve"> a 0 y la </w:t>
      </w:r>
      <w:r w:rsidR="00ED1849">
        <w:t>termodinámica se incrementa</w:t>
      </w:r>
      <w:r w:rsidR="00D65AD3">
        <w:t>ría</w:t>
      </w:r>
      <w:r w:rsidR="00ED1849">
        <w:t xml:space="preserve"> a </w:t>
      </w:r>
      <w:r w:rsidR="00B45E4E">
        <w:t>23</w:t>
      </w:r>
      <w:r w:rsidR="00ED1849">
        <w:t xml:space="preserve">%, generando cerca de </w:t>
      </w:r>
      <w:r w:rsidR="00A31210">
        <w:t>9,22</w:t>
      </w:r>
      <w:r w:rsidR="00ED1849">
        <w:t xml:space="preserve"> </w:t>
      </w:r>
      <w:r w:rsidR="00A31210">
        <w:t>M</w:t>
      </w:r>
      <w:r w:rsidR="00ED1849">
        <w:t>W</w:t>
      </w:r>
      <w:r w:rsidR="00ED1849" w:rsidRPr="00AF094D">
        <w:rPr>
          <w:vertAlign w:val="subscript"/>
        </w:rPr>
        <w:t>e</w:t>
      </w:r>
      <w:r w:rsidR="00ED1849">
        <w:t>.</w:t>
      </w:r>
      <w:r w:rsidR="00E85CC8">
        <w:t xml:space="preserve"> </w:t>
      </w:r>
      <w:r w:rsidR="00BC6FF3">
        <w:t xml:space="preserve">El factor de utilización, </w:t>
      </w:r>
      <w:r w:rsidR="00BC6FF3">
        <w:rPr>
          <w:rFonts w:eastAsia="Calibri" w:cs="Times New Roman"/>
          <w:iCs/>
        </w:rPr>
        <w:t>ε</w:t>
      </w:r>
      <w:r w:rsidR="00BC6FF3" w:rsidRPr="00976FFC">
        <w:rPr>
          <w:rFonts w:eastAsia="Calibri" w:cs="Times New Roman"/>
          <w:iCs/>
          <w:vertAlign w:val="subscript"/>
        </w:rPr>
        <w:t>u</w:t>
      </w:r>
      <w:r w:rsidR="00BC6FF3">
        <w:t xml:space="preserve">, </w:t>
      </w:r>
      <w:r w:rsidR="00E72E11">
        <w:t>disminuiría</w:t>
      </w:r>
      <w:r w:rsidR="00525474">
        <w:t xml:space="preserve"> progresivamente desde </w:t>
      </w:r>
      <w:r w:rsidR="009E4DDE">
        <w:t xml:space="preserve">un valor </w:t>
      </w:r>
      <w:r w:rsidR="004C054B">
        <w:t>teórico</w:t>
      </w:r>
      <w:r w:rsidR="009E4DDE">
        <w:t xml:space="preserve"> de </w:t>
      </w:r>
      <w:r w:rsidR="00A31210">
        <w:t>95</w:t>
      </w:r>
      <w:r w:rsidR="009E4DDE">
        <w:t>%</w:t>
      </w:r>
      <w:r w:rsidR="001C263D">
        <w:t xml:space="preserve"> a </w:t>
      </w:r>
      <w:r w:rsidR="00FE6E3B">
        <w:t>23</w:t>
      </w:r>
      <w:r w:rsidR="001C263D">
        <w:t>% a medida que se contabiliza el calor rechazado en el condensador</w:t>
      </w:r>
      <w:r w:rsidR="00C45571">
        <w:t xml:space="preserve"> a baja presión.</w:t>
      </w:r>
    </w:p>
    <w:p w14:paraId="7A205DCC" w14:textId="77777777" w:rsidR="00C3037D" w:rsidRPr="00BC6FF3" w:rsidRDefault="00C3037D" w:rsidP="000D5F99"/>
    <w:p w14:paraId="684DA18A" w14:textId="4200F56B" w:rsidR="00970C5E" w:rsidRDefault="003562A1" w:rsidP="00C671F8">
      <w:pPr>
        <w:jc w:val="center"/>
      </w:pPr>
      <w:r w:rsidRPr="003562A1">
        <w:rPr>
          <w:noProof/>
        </w:rPr>
        <w:drawing>
          <wp:inline distT="0" distB="0" distL="0" distR="0" wp14:anchorId="39D3F000" wp14:editId="03CE1AB9">
            <wp:extent cx="2773045" cy="2274570"/>
            <wp:effectExtent l="19050" t="19050" r="27305" b="11430"/>
            <wp:docPr id="61" name="Imagen 2" descr="Gráfico&#10;&#10;Descripción generada automáticamente">
              <a:extLst xmlns:a="http://schemas.openxmlformats.org/drawingml/2006/main">
                <a:ext uri="{FF2B5EF4-FFF2-40B4-BE49-F238E27FC236}">
                  <a16:creationId xmlns:a16="http://schemas.microsoft.com/office/drawing/2014/main" id="{2E7D3B77-53A0-51E1-081F-6971A5A5AB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Gráfico&#10;&#10;Descripción generada automáticamente">
                      <a:extLst>
                        <a:ext uri="{FF2B5EF4-FFF2-40B4-BE49-F238E27FC236}">
                          <a16:creationId xmlns:a16="http://schemas.microsoft.com/office/drawing/2014/main" id="{2E7D3B77-53A0-51E1-081F-6971A5A5ABE9}"/>
                        </a:ext>
                      </a:extLst>
                    </pic:cNvPr>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r="8564"/>
                    <a:stretch/>
                  </pic:blipFill>
                  <pic:spPr>
                    <a:xfrm>
                      <a:off x="0" y="0"/>
                      <a:ext cx="2773045" cy="2274570"/>
                    </a:xfrm>
                    <a:prstGeom prst="rect">
                      <a:avLst/>
                    </a:prstGeom>
                    <a:ln w="3175">
                      <a:solidFill>
                        <a:schemeClr val="tx1"/>
                      </a:solidFill>
                    </a:ln>
                  </pic:spPr>
                </pic:pic>
              </a:graphicData>
            </a:graphic>
          </wp:inline>
        </w:drawing>
      </w:r>
    </w:p>
    <w:p w14:paraId="49BB16C2" w14:textId="5B810429" w:rsidR="00970C5E" w:rsidRDefault="005D6DFE" w:rsidP="005D6DFE">
      <w:pPr>
        <w:pStyle w:val="Descripcin"/>
        <w:rPr>
          <w:sz w:val="18"/>
          <w:szCs w:val="16"/>
        </w:rPr>
      </w:pPr>
      <w:r w:rsidRPr="00354302">
        <w:rPr>
          <w:b/>
          <w:bCs/>
          <w:sz w:val="18"/>
          <w:szCs w:val="16"/>
        </w:rPr>
        <w:t xml:space="preserve">Figura </w:t>
      </w:r>
      <w:r w:rsidRPr="00354302">
        <w:rPr>
          <w:b/>
          <w:bCs/>
          <w:sz w:val="18"/>
          <w:szCs w:val="16"/>
        </w:rPr>
        <w:fldChar w:fldCharType="begin"/>
      </w:r>
      <w:r w:rsidRPr="00354302">
        <w:rPr>
          <w:b/>
          <w:bCs/>
          <w:sz w:val="18"/>
          <w:szCs w:val="16"/>
        </w:rPr>
        <w:instrText xml:space="preserve"> SEQ Figura \* ARABIC </w:instrText>
      </w:r>
      <w:r w:rsidRPr="00354302">
        <w:rPr>
          <w:b/>
          <w:bCs/>
          <w:sz w:val="18"/>
          <w:szCs w:val="16"/>
        </w:rPr>
        <w:fldChar w:fldCharType="separate"/>
      </w:r>
      <w:r w:rsidR="00A66FCC" w:rsidRPr="00354302">
        <w:rPr>
          <w:b/>
          <w:bCs/>
          <w:noProof/>
          <w:sz w:val="18"/>
          <w:szCs w:val="16"/>
        </w:rPr>
        <w:t>4</w:t>
      </w:r>
      <w:r w:rsidRPr="00354302">
        <w:rPr>
          <w:b/>
          <w:bCs/>
          <w:sz w:val="18"/>
          <w:szCs w:val="16"/>
        </w:rPr>
        <w:fldChar w:fldCharType="end"/>
      </w:r>
      <w:r w:rsidR="00354302" w:rsidRPr="00354302">
        <w:rPr>
          <w:b/>
          <w:bCs/>
          <w:sz w:val="18"/>
          <w:szCs w:val="16"/>
        </w:rPr>
        <w:t>.</w:t>
      </w:r>
      <w:r w:rsidRPr="001575AE">
        <w:rPr>
          <w:sz w:val="18"/>
          <w:szCs w:val="16"/>
        </w:rPr>
        <w:t xml:space="preserve"> Variación de potencia</w:t>
      </w:r>
      <w:r w:rsidR="006F6992" w:rsidRPr="001575AE">
        <w:rPr>
          <w:sz w:val="18"/>
          <w:szCs w:val="16"/>
        </w:rPr>
        <w:t>s</w:t>
      </w:r>
      <w:r w:rsidRPr="001575AE">
        <w:rPr>
          <w:sz w:val="18"/>
          <w:szCs w:val="16"/>
        </w:rPr>
        <w:t xml:space="preserve"> eléctrica</w:t>
      </w:r>
      <w:r w:rsidR="006F6992" w:rsidRPr="001575AE">
        <w:rPr>
          <w:sz w:val="18"/>
          <w:szCs w:val="16"/>
        </w:rPr>
        <w:t xml:space="preserve"> y</w:t>
      </w:r>
      <w:r w:rsidRPr="001575AE">
        <w:rPr>
          <w:sz w:val="18"/>
          <w:szCs w:val="16"/>
        </w:rPr>
        <w:t xml:space="preserve"> térmica</w:t>
      </w:r>
      <w:r w:rsidR="006F6992" w:rsidRPr="001575AE">
        <w:rPr>
          <w:sz w:val="18"/>
          <w:szCs w:val="16"/>
        </w:rPr>
        <w:t xml:space="preserve"> en base a proporción de </w:t>
      </w:r>
      <w:r w:rsidR="00A66FCC" w:rsidRPr="001575AE">
        <w:rPr>
          <w:sz w:val="18"/>
          <w:szCs w:val="16"/>
        </w:rPr>
        <w:t>calor aportado al distrito de calefacción</w:t>
      </w:r>
      <w:r w:rsidRPr="001575AE">
        <w:rPr>
          <w:sz w:val="18"/>
          <w:szCs w:val="16"/>
        </w:rPr>
        <w:t xml:space="preserve"> y calor aportado</w:t>
      </w:r>
      <w:r w:rsidR="00A66FCC" w:rsidRPr="001575AE">
        <w:rPr>
          <w:sz w:val="18"/>
          <w:szCs w:val="16"/>
        </w:rPr>
        <w:t xml:space="preserve"> al ciclo. Fuente: elaboración propia.</w:t>
      </w:r>
    </w:p>
    <w:p w14:paraId="7F8986F6" w14:textId="77777777" w:rsidR="002B4EDE" w:rsidRPr="00C3037D" w:rsidRDefault="002B4EDE" w:rsidP="002B4EDE">
      <w:pPr>
        <w:rPr>
          <w:lang w:eastAsia="es-CO"/>
        </w:rPr>
      </w:pPr>
    </w:p>
    <w:p w14:paraId="303CBB77" w14:textId="2E069B6D" w:rsidR="00B93B5D" w:rsidRDefault="001A4B14" w:rsidP="001A4B14">
      <w:pPr>
        <w:jc w:val="center"/>
      </w:pPr>
      <w:r w:rsidRPr="001A4B14">
        <w:rPr>
          <w:noProof/>
        </w:rPr>
        <w:drawing>
          <wp:inline distT="0" distB="0" distL="0" distR="0" wp14:anchorId="4E856AA8" wp14:editId="0673C4BE">
            <wp:extent cx="2670048" cy="2229558"/>
            <wp:effectExtent l="19050" t="19050" r="16510" b="18415"/>
            <wp:docPr id="62" name="Imagen 2" descr="Gráfico&#10;&#10;Descripción generada automáticamente con confianza media">
              <a:extLst xmlns:a="http://schemas.openxmlformats.org/drawingml/2006/main">
                <a:ext uri="{FF2B5EF4-FFF2-40B4-BE49-F238E27FC236}">
                  <a16:creationId xmlns:a16="http://schemas.microsoft.com/office/drawing/2014/main" id="{8B7B3C57-0981-4DDB-1F39-974F3108CB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Gráfico&#10;&#10;Descripción generada automáticamente con confianza media">
                      <a:extLst>
                        <a:ext uri="{FF2B5EF4-FFF2-40B4-BE49-F238E27FC236}">
                          <a16:creationId xmlns:a16="http://schemas.microsoft.com/office/drawing/2014/main" id="{8B7B3C57-0981-4DDB-1F39-974F3108CB52}"/>
                        </a:ext>
                      </a:extLst>
                    </pic:cNvPr>
                    <pic:cNvPicPr>
                      <a:picLocks noChangeAspect="1"/>
                    </pic:cNvPicPr>
                  </pic:nvPicPr>
                  <pic:blipFill rotWithShape="1">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l="2111" r="8462"/>
                    <a:stretch/>
                  </pic:blipFill>
                  <pic:spPr bwMode="auto">
                    <a:xfrm>
                      <a:off x="0" y="0"/>
                      <a:ext cx="2676555" cy="2234992"/>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3E180845" w14:textId="18BFE133" w:rsidR="00B93B5D" w:rsidRPr="001575AE" w:rsidRDefault="00A66FCC" w:rsidP="00A66FCC">
      <w:pPr>
        <w:pStyle w:val="Descripcin"/>
        <w:rPr>
          <w:sz w:val="18"/>
          <w:szCs w:val="16"/>
        </w:rPr>
      </w:pPr>
      <w:r w:rsidRPr="00354302">
        <w:rPr>
          <w:b/>
          <w:bCs/>
          <w:sz w:val="18"/>
          <w:szCs w:val="16"/>
        </w:rPr>
        <w:t xml:space="preserve">Figura </w:t>
      </w:r>
      <w:r w:rsidRPr="00354302">
        <w:rPr>
          <w:b/>
          <w:bCs/>
          <w:sz w:val="18"/>
          <w:szCs w:val="16"/>
        </w:rPr>
        <w:fldChar w:fldCharType="begin"/>
      </w:r>
      <w:r w:rsidRPr="00354302">
        <w:rPr>
          <w:b/>
          <w:bCs/>
          <w:sz w:val="18"/>
          <w:szCs w:val="16"/>
        </w:rPr>
        <w:instrText xml:space="preserve"> SEQ Figura \* ARABIC </w:instrText>
      </w:r>
      <w:r w:rsidRPr="00354302">
        <w:rPr>
          <w:b/>
          <w:bCs/>
          <w:sz w:val="18"/>
          <w:szCs w:val="16"/>
        </w:rPr>
        <w:fldChar w:fldCharType="separate"/>
      </w:r>
      <w:r w:rsidRPr="00354302">
        <w:rPr>
          <w:b/>
          <w:bCs/>
          <w:noProof/>
          <w:sz w:val="18"/>
          <w:szCs w:val="16"/>
        </w:rPr>
        <w:t>5</w:t>
      </w:r>
      <w:r w:rsidRPr="00354302">
        <w:rPr>
          <w:b/>
          <w:bCs/>
          <w:sz w:val="18"/>
          <w:szCs w:val="16"/>
        </w:rPr>
        <w:fldChar w:fldCharType="end"/>
      </w:r>
      <w:r w:rsidR="00D62304" w:rsidRPr="00354302">
        <w:rPr>
          <w:b/>
          <w:bCs/>
          <w:sz w:val="18"/>
          <w:szCs w:val="16"/>
        </w:rPr>
        <w:t>.</w:t>
      </w:r>
      <w:r w:rsidRPr="001575AE">
        <w:rPr>
          <w:sz w:val="18"/>
          <w:szCs w:val="16"/>
        </w:rPr>
        <w:t xml:space="preserve"> Medida de la eficiencia del ciclo en base a </w:t>
      </w:r>
      <w:r w:rsidR="001575AE" w:rsidRPr="001575AE">
        <w:rPr>
          <w:sz w:val="18"/>
          <w:szCs w:val="16"/>
        </w:rPr>
        <w:t>electricidad generada, calor aportado y el factor de utilidad. Fuente: elaboración propia.</w:t>
      </w:r>
    </w:p>
    <w:p w14:paraId="2EDF9784" w14:textId="61F33693" w:rsidR="006A561D" w:rsidRDefault="00507124" w:rsidP="00E5278E">
      <w:r>
        <w:t>El flujo másico de vapor</w:t>
      </w:r>
      <w:r w:rsidR="00A22437" w:rsidRPr="00A22437">
        <w:t xml:space="preserve"> </w:t>
      </w:r>
      <w:r w:rsidR="00A22437">
        <w:t>generado</w:t>
      </w:r>
      <w:r w:rsidR="00E40E49">
        <w:t xml:space="preserve">, </w:t>
      </w:r>
      <m:oMath>
        <m:sSub>
          <m:sSubPr>
            <m:ctrlPr>
              <w:rPr>
                <w:rFonts w:ascii="Cambria Math" w:eastAsia="Calibri" w:hAnsi="Cambria Math" w:cs="Times New Roman"/>
              </w:rPr>
            </m:ctrlPr>
          </m:sSubPr>
          <m:e>
            <m:acc>
              <m:accPr>
                <m:chr m:val="̇"/>
                <m:ctrlPr>
                  <w:rPr>
                    <w:rFonts w:ascii="Cambria Math" w:eastAsia="Calibri" w:hAnsi="Cambria Math" w:cs="Times New Roman"/>
                  </w:rPr>
                </m:ctrlPr>
              </m:accPr>
              <m:e>
                <m:r>
                  <m:rPr>
                    <m:sty m:val="p"/>
                  </m:rPr>
                  <w:rPr>
                    <w:rFonts w:ascii="Cambria Math" w:eastAsia="Calibri" w:hAnsi="Cambria Math" w:cs="Times New Roman"/>
                  </w:rPr>
                  <m:t>m</m:t>
                </m:r>
              </m:e>
            </m:acc>
          </m:e>
          <m:sub>
            <m:r>
              <m:rPr>
                <m:sty m:val="p"/>
              </m:rPr>
              <w:rPr>
                <w:rFonts w:ascii="Cambria Math" w:eastAsia="Calibri" w:hAnsi="Cambria Math" w:cs="Times New Roman"/>
              </w:rPr>
              <m:t>v</m:t>
            </m:r>
          </m:sub>
        </m:sSub>
      </m:oMath>
      <w:r w:rsidR="00E40E49">
        <w:rPr>
          <w:rFonts w:ascii="Cambria Math" w:eastAsia="Calibri" w:hAnsi="Cambria Math" w:cs="Times New Roman"/>
        </w:rPr>
        <w:t>,</w:t>
      </w:r>
      <w:r>
        <w:t xml:space="preserve"> oscilaría entre 13,53 kg/s para el caso de g</w:t>
      </w:r>
      <w:r w:rsidR="00DE1A97">
        <w:t xml:space="preserve">eneración de calor, sin paso </w:t>
      </w:r>
      <w:r w:rsidR="00C824FC">
        <w:t xml:space="preserve">de vapor a la turbina de baja presión, y de 11,96 kg/s </w:t>
      </w:r>
      <w:r w:rsidR="00C824FC">
        <w:lastRenderedPageBreak/>
        <w:t>para el caso</w:t>
      </w:r>
      <w:r w:rsidR="00F95BC6">
        <w:t xml:space="preserve"> opuesto, sin paso al distrito de calefacción.</w:t>
      </w:r>
      <w:r w:rsidR="00C20801">
        <w:t xml:space="preserve"> </w:t>
      </w:r>
      <w:r w:rsidR="00E14A02">
        <w:t xml:space="preserve">En cuanto al índice de eficiencia energética, R1, </w:t>
      </w:r>
      <w:r w:rsidR="00D60437">
        <w:t>se han desestimado los parámetros E</w:t>
      </w:r>
      <w:r w:rsidR="00D60437" w:rsidRPr="00350A3E">
        <w:rPr>
          <w:vertAlign w:val="subscript"/>
        </w:rPr>
        <w:t>f</w:t>
      </w:r>
      <w:r w:rsidR="00031C87" w:rsidRPr="00350A3E">
        <w:rPr>
          <w:vertAlign w:val="subscript"/>
        </w:rPr>
        <w:t xml:space="preserve"> </w:t>
      </w:r>
      <w:r w:rsidR="00031C87">
        <w:t>y E</w:t>
      </w:r>
      <w:r w:rsidR="00031C87" w:rsidRPr="00350A3E">
        <w:rPr>
          <w:vertAlign w:val="subscript"/>
        </w:rPr>
        <w:t>i</w:t>
      </w:r>
      <w:r w:rsidR="00031C87">
        <w:t xml:space="preserve"> ya que, idealmente, no se requerirían combustibles adicionales para </w:t>
      </w:r>
      <w:r w:rsidR="00152E04">
        <w:t>el funcionamiento del proceso, salvo lo necesario para operaciones de arranque y estabilización</w:t>
      </w:r>
      <w:r w:rsidR="001C70F7">
        <w:t xml:space="preserve"> de la combustión</w:t>
      </w:r>
      <w:r w:rsidR="00152E04">
        <w:t>, ni importar energía adicional.</w:t>
      </w:r>
      <w:r w:rsidR="00053BB0">
        <w:t xml:space="preserve"> </w:t>
      </w:r>
      <w:r w:rsidR="006A561D">
        <w:t xml:space="preserve">Para </w:t>
      </w:r>
      <w:r w:rsidR="0091326E">
        <w:t>que</w:t>
      </w:r>
      <w:r w:rsidR="006A561D">
        <w:t xml:space="preserve"> R1</w:t>
      </w:r>
      <w:r w:rsidR="00382E57">
        <w:t xml:space="preserve"> </w:t>
      </w:r>
      <w:r w:rsidR="0091326E">
        <w:t>&gt;</w:t>
      </w:r>
      <w:r w:rsidR="00382E57">
        <w:t xml:space="preserve"> </w:t>
      </w:r>
      <w:r w:rsidR="006A561D">
        <w:t>0,65</w:t>
      </w:r>
      <w:r w:rsidR="00C42E18">
        <w:t xml:space="preserve"> anual </w:t>
      </w:r>
      <w:r w:rsidR="00F7018A">
        <w:t>se</w:t>
      </w:r>
      <w:r w:rsidR="00C42E18">
        <w:t xml:space="preserve"> debería </w:t>
      </w:r>
      <w:r w:rsidR="009D67B3">
        <w:t>asegurar que</w:t>
      </w:r>
      <w:r w:rsidR="000C5232">
        <w:t xml:space="preserve"> y</w:t>
      </w:r>
      <w:r w:rsidR="00382E57">
        <w:t xml:space="preserve"> </w:t>
      </w:r>
      <w:r w:rsidR="000C5232">
        <w:t>&gt;</w:t>
      </w:r>
      <w:r w:rsidR="00382E57">
        <w:t xml:space="preserve"> </w:t>
      </w:r>
      <w:r w:rsidR="002C2C2A">
        <w:t>0,60</w:t>
      </w:r>
      <w:r w:rsidR="00382E57">
        <w:t xml:space="preserve">, es decir, </w:t>
      </w:r>
      <m:oMath>
        <m:sSub>
          <m:sSubPr>
            <m:ctrlPr>
              <w:rPr>
                <w:rFonts w:ascii="Cambria Math" w:eastAsia="Calibri" w:hAnsi="Cambria Math" w:cs="Times New Roman"/>
              </w:rPr>
            </m:ctrlPr>
          </m:sSubPr>
          <m:e>
            <m:acc>
              <m:accPr>
                <m:chr m:val="̇"/>
                <m:ctrlPr>
                  <w:rPr>
                    <w:rFonts w:ascii="Cambria Math" w:eastAsia="Calibri" w:hAnsi="Cambria Math" w:cs="Times New Roman"/>
                  </w:rPr>
                </m:ctrlPr>
              </m:accPr>
              <m:e>
                <m:r>
                  <m:rPr>
                    <m:sty m:val="p"/>
                  </m:rPr>
                  <w:rPr>
                    <w:rFonts w:ascii="Cambria Math" w:eastAsia="Calibri" w:hAnsi="Cambria Math" w:cs="Times New Roman"/>
                  </w:rPr>
                  <m:t>m</m:t>
                </m:r>
              </m:e>
            </m:acc>
          </m:e>
          <m:sub>
            <m:r>
              <m:rPr>
                <m:sty m:val="p"/>
              </m:rPr>
              <w:rPr>
                <w:rFonts w:ascii="Cambria Math" w:eastAsia="Calibri" w:hAnsi="Cambria Math" w:cs="Times New Roman"/>
              </w:rPr>
              <m:t>v</m:t>
            </m:r>
          </m:sub>
        </m:sSub>
      </m:oMath>
      <w:r w:rsidR="00382E57">
        <w:rPr>
          <w:rFonts w:eastAsiaTheme="minorEastAsia"/>
        </w:rPr>
        <w:t xml:space="preserve"> &gt;</w:t>
      </w:r>
      <w:r w:rsidR="00876D8F">
        <w:t xml:space="preserve"> 12,54 kg/s </w:t>
      </w:r>
      <w:r w:rsidR="00A541C8">
        <w:t>dedicado</w:t>
      </w:r>
      <w:r w:rsidR="001C70F7">
        <w:t xml:space="preserve"> a</w:t>
      </w:r>
      <w:r w:rsidR="00580625">
        <w:t xml:space="preserve"> la producción de calor</w:t>
      </w:r>
      <w:r w:rsidR="005779A2">
        <w:t>.</w:t>
      </w:r>
    </w:p>
    <w:p w14:paraId="4ADC5D0D" w14:textId="18E14E9C" w:rsidR="007432C8" w:rsidRDefault="000A3216" w:rsidP="00400DFC">
      <w:pPr>
        <w:pStyle w:val="Ttulo2"/>
      </w:pPr>
      <w:r>
        <w:t xml:space="preserve">Viviendas </w:t>
      </w:r>
      <w:r w:rsidR="0031239C">
        <w:t>abastecidas</w:t>
      </w:r>
    </w:p>
    <w:p w14:paraId="120C02AD" w14:textId="0B415F44" w:rsidR="006B7D32" w:rsidRDefault="0045229C" w:rsidP="000D5F99">
      <w:r>
        <w:t xml:space="preserve">El consumo anual de energía utilizando calefacción a leña </w:t>
      </w:r>
      <w:r w:rsidR="00EA31EE">
        <w:t xml:space="preserve">por vivienda </w:t>
      </w:r>
      <w:r>
        <w:t xml:space="preserve">es de </w:t>
      </w:r>
      <w:r w:rsidR="004033EB">
        <w:t>19</w:t>
      </w:r>
      <w:r w:rsidR="002D2BA3">
        <w:t xml:space="preserve">.165 kWh </w:t>
      </w:r>
      <w:r w:rsidR="00452067">
        <w:t xml:space="preserve">durante </w:t>
      </w:r>
      <w:r w:rsidR="001C47BE">
        <w:t xml:space="preserve">un promedio de 4.020 horas </w:t>
      </w:r>
      <w:r w:rsidR="00C21A8D">
        <w:t>[23]</w:t>
      </w:r>
      <w:r w:rsidR="001C47BE">
        <w:t xml:space="preserve">. </w:t>
      </w:r>
      <w:r w:rsidR="00F97C97">
        <w:t xml:space="preserve">Esto resulta </w:t>
      </w:r>
      <w:r w:rsidR="005A01F5">
        <w:t>en un</w:t>
      </w:r>
      <w:r w:rsidR="005F7E44">
        <w:t xml:space="preserve"> consumo instantáneo </w:t>
      </w:r>
      <w:r w:rsidR="005A01F5">
        <w:t>de 4,77</w:t>
      </w:r>
      <w:r w:rsidR="005F7E44">
        <w:t xml:space="preserve"> kW</w:t>
      </w:r>
      <w:r w:rsidR="005A01F5">
        <w:t xml:space="preserve"> por vivienda</w:t>
      </w:r>
      <w:r w:rsidR="005F7E44">
        <w:t>.</w:t>
      </w:r>
      <w:r w:rsidR="00405E36">
        <w:t xml:space="preserve"> </w:t>
      </w:r>
      <w:r w:rsidR="007D6B92">
        <w:t>E</w:t>
      </w:r>
      <w:r w:rsidR="00405E36">
        <w:t xml:space="preserve">l </w:t>
      </w:r>
      <w:r w:rsidR="006B7D32">
        <w:t xml:space="preserve">número de viviendas censadas en la ciudad es de 49.300 </w:t>
      </w:r>
      <w:r w:rsidR="00C21A8D">
        <w:t>[15]</w:t>
      </w:r>
      <w:r w:rsidR="00C14493">
        <w:t xml:space="preserve"> </w:t>
      </w:r>
      <w:r w:rsidR="00A30B0E">
        <w:t xml:space="preserve">y el porcentaje de uso de leña </w:t>
      </w:r>
      <w:r w:rsidR="00F45083">
        <w:t xml:space="preserve">en ellas </w:t>
      </w:r>
      <w:r w:rsidR="00A30B0E">
        <w:t>es de 92,5%</w:t>
      </w:r>
      <w:r w:rsidR="00EF7BC9">
        <w:t xml:space="preserve"> </w:t>
      </w:r>
      <w:r w:rsidR="00C21A8D">
        <w:t>[23]</w:t>
      </w:r>
      <w:r w:rsidR="009E32B1">
        <w:t xml:space="preserve">. </w:t>
      </w:r>
      <w:r w:rsidR="00CE5BEC">
        <w:t xml:space="preserve">Con el aporte máximo de la planta </w:t>
      </w:r>
      <w:r w:rsidR="00690AE1">
        <w:t xml:space="preserve">hacia la generación de calor se podrían atender </w:t>
      </w:r>
      <w:r w:rsidR="00781EF2">
        <w:t xml:space="preserve">las necesidades de </w:t>
      </w:r>
      <w:r w:rsidR="00B43428">
        <w:t xml:space="preserve">calor de </w:t>
      </w:r>
      <w:r w:rsidR="00570986">
        <w:t xml:space="preserve">algo más de 8.300 viviendas, </w:t>
      </w:r>
      <w:r w:rsidR="00B854D2">
        <w:t xml:space="preserve">18% de las viviendas </w:t>
      </w:r>
      <w:r w:rsidR="00E5090E">
        <w:t xml:space="preserve">que utilizan leña, </w:t>
      </w:r>
      <w:r w:rsidR="00570986">
        <w:t>no teniendo en cuenta pérdidas</w:t>
      </w:r>
      <w:r w:rsidR="008D5ACA">
        <w:t xml:space="preserve"> inherentes a la producción y distribución de calor</w:t>
      </w:r>
      <w:r w:rsidR="00341E07">
        <w:t>.</w:t>
      </w:r>
      <w:r w:rsidR="00764D57">
        <w:t xml:space="preserve"> </w:t>
      </w:r>
      <w:r w:rsidR="00302C1A">
        <w:t>El resto de las horas anuales fuera del estimado de consumo de calefacción</w:t>
      </w:r>
      <w:r w:rsidR="000B0191">
        <w:t xml:space="preserve"> se </w:t>
      </w:r>
      <w:r w:rsidR="00C23F8D">
        <w:t>podría</w:t>
      </w:r>
      <w:r w:rsidR="000B0191">
        <w:t xml:space="preserve"> destinar a la </w:t>
      </w:r>
      <w:r w:rsidR="00BD4141">
        <w:t>producción</w:t>
      </w:r>
      <w:r w:rsidR="000B0191">
        <w:t xml:space="preserve"> eléctrica</w:t>
      </w:r>
      <w:r w:rsidR="00837478">
        <w:t>, siempre y cuando R1 &gt; 0,65</w:t>
      </w:r>
      <w:r w:rsidR="004F0084">
        <w:t>.</w:t>
      </w:r>
      <w:r w:rsidR="000B0191">
        <w:t xml:space="preserve"> </w:t>
      </w:r>
    </w:p>
    <w:p w14:paraId="560A1F62" w14:textId="35563765" w:rsidR="00A97723" w:rsidRDefault="000A3216" w:rsidP="000A3216">
      <w:pPr>
        <w:pStyle w:val="Ttulo2"/>
      </w:pPr>
      <w:r>
        <w:t>Emisiones de CO</w:t>
      </w:r>
      <w:r w:rsidRPr="00B80573">
        <w:rPr>
          <w:vertAlign w:val="subscript"/>
        </w:rPr>
        <w:t>2</w:t>
      </w:r>
      <w:r>
        <w:t xml:space="preserve"> y ahorro en el consumo de leña</w:t>
      </w:r>
    </w:p>
    <w:p w14:paraId="344C6593" w14:textId="5F5BF0F8" w:rsidR="00A97723" w:rsidRDefault="00D87FAB" w:rsidP="000D5F99">
      <w:r>
        <w:t xml:space="preserve">La emisión de </w:t>
      </w:r>
      <w:r w:rsidR="00725525">
        <w:t>320.324</w:t>
      </w:r>
      <w:r w:rsidR="003A19EE">
        <w:t>,36 t de CO</w:t>
      </w:r>
      <w:r w:rsidR="003A19EE" w:rsidRPr="0001402F">
        <w:rPr>
          <w:vertAlign w:val="subscript"/>
        </w:rPr>
        <w:t>2</w:t>
      </w:r>
      <w:r w:rsidR="003A19EE">
        <w:t xml:space="preserve"> </w:t>
      </w:r>
      <w:r w:rsidR="00261524">
        <w:t xml:space="preserve">anuales </w:t>
      </w:r>
      <w:r w:rsidR="00E25BEB">
        <w:t xml:space="preserve">proveniente de la combustión </w:t>
      </w:r>
      <w:r w:rsidR="00261524">
        <w:t>a</w:t>
      </w:r>
      <w:r w:rsidR="00E25BEB">
        <w:t xml:space="preserve"> leña </w:t>
      </w:r>
      <w:r w:rsidR="003A19EE">
        <w:t>en la comuna de Valdivia</w:t>
      </w:r>
      <w:r w:rsidR="00E25BEB">
        <w:t>,</w:t>
      </w:r>
      <w:r w:rsidR="002F1985">
        <w:t xml:space="preserve"> </w:t>
      </w:r>
      <w:r w:rsidR="00E25BEB">
        <w:t>en el promedio de 4.020 horas</w:t>
      </w:r>
      <w:r w:rsidR="00261524">
        <w:t xml:space="preserve">, </w:t>
      </w:r>
      <w:r w:rsidR="000A4EB5">
        <w:t xml:space="preserve">equivale </w:t>
      </w:r>
      <w:r w:rsidR="003940D6">
        <w:t>a un flujo de 22,13 kgCO</w:t>
      </w:r>
      <w:r w:rsidR="003940D6" w:rsidRPr="006E5AD8">
        <w:rPr>
          <w:vertAlign w:val="subscript"/>
        </w:rPr>
        <w:t>2</w:t>
      </w:r>
      <w:r w:rsidR="003940D6">
        <w:t>/s</w:t>
      </w:r>
      <w:r w:rsidR="00840931">
        <w:t xml:space="preserve"> resultando </w:t>
      </w:r>
      <w:r w:rsidR="00FE34EE">
        <w:t xml:space="preserve">en la emisión de </w:t>
      </w:r>
      <w:r w:rsidR="00631D32">
        <w:t>1,02</w:t>
      </w:r>
      <w:r w:rsidR="00B52515">
        <w:rPr>
          <w:rFonts w:cs="Times New Roman"/>
        </w:rPr>
        <w:t>∙</w:t>
      </w:r>
      <w:r w:rsidR="00B52515">
        <w:t>10</w:t>
      </w:r>
      <w:r w:rsidR="00B52515" w:rsidRPr="00B52515">
        <w:rPr>
          <w:vertAlign w:val="superscript"/>
        </w:rPr>
        <w:t>-4</w:t>
      </w:r>
      <w:r w:rsidR="00B52515">
        <w:t xml:space="preserve"> kgCO</w:t>
      </w:r>
      <w:r w:rsidR="00B52515" w:rsidRPr="006E5AD8">
        <w:rPr>
          <w:vertAlign w:val="subscript"/>
        </w:rPr>
        <w:t>2</w:t>
      </w:r>
      <w:r w:rsidR="00B52515">
        <w:t>/kJ</w:t>
      </w:r>
      <w:r w:rsidR="00F62D1B">
        <w:t xml:space="preserve">. La planta emitiría </w:t>
      </w:r>
      <w:r w:rsidR="00057EBC">
        <w:t>0,8606 kgCO</w:t>
      </w:r>
      <w:r w:rsidR="00057EBC" w:rsidRPr="006E5AD8">
        <w:rPr>
          <w:vertAlign w:val="subscript"/>
        </w:rPr>
        <w:t>2</w:t>
      </w:r>
      <w:r w:rsidR="00057EBC">
        <w:t>/kg</w:t>
      </w:r>
      <w:r w:rsidR="00057EBC" w:rsidRPr="005147A8">
        <w:rPr>
          <w:vertAlign w:val="subscript"/>
        </w:rPr>
        <w:t>RSU</w:t>
      </w:r>
      <w:r w:rsidR="00057EBC">
        <w:t>, ver ecuación</w:t>
      </w:r>
      <w:r w:rsidR="00DB5D26">
        <w:t xml:space="preserve"> </w:t>
      </w:r>
      <w:r w:rsidR="00DB5D26">
        <w:fldChar w:fldCharType="begin"/>
      </w:r>
      <w:r w:rsidR="00DB5D26">
        <w:instrText xml:space="preserve"> REF _Ref110282152 \h </w:instrText>
      </w:r>
      <w:r w:rsidR="00DB5D26">
        <w:fldChar w:fldCharType="separate"/>
      </w:r>
      <w:r w:rsidR="00383169">
        <w:rPr>
          <w:noProof/>
        </w:rPr>
        <w:t>17</w:t>
      </w:r>
      <w:r w:rsidR="00DB5D26">
        <w:fldChar w:fldCharType="end"/>
      </w:r>
      <w:r w:rsidR="00555ED7">
        <w:t xml:space="preserve">, por tanto, manteniendo un </w:t>
      </w:r>
      <w:r w:rsidR="00335AA2">
        <w:t>flujo</w:t>
      </w:r>
      <w:r w:rsidR="00555ED7">
        <w:t xml:space="preserve"> constante de alimentación </w:t>
      </w:r>
      <m:oMath>
        <m:sSub>
          <m:sSubPr>
            <m:ctrlPr>
              <w:rPr>
                <w:rFonts w:ascii="Cambria Math" w:eastAsia="Calibri" w:hAnsi="Cambria Math" w:cs="Times New Roman"/>
              </w:rPr>
            </m:ctrlPr>
          </m:sSubPr>
          <m:e>
            <m:acc>
              <m:accPr>
                <m:chr m:val="̇"/>
                <m:ctrlPr>
                  <w:rPr>
                    <w:rFonts w:ascii="Cambria Math" w:eastAsia="Calibri" w:hAnsi="Cambria Math" w:cs="Times New Roman"/>
                  </w:rPr>
                </m:ctrlPr>
              </m:accPr>
              <m:e>
                <m:r>
                  <m:rPr>
                    <m:sty m:val="p"/>
                  </m:rPr>
                  <w:rPr>
                    <w:rFonts w:ascii="Cambria Math" w:eastAsia="Calibri" w:hAnsi="Cambria Math" w:cs="Times New Roman"/>
                  </w:rPr>
                  <m:t>m</m:t>
                </m:r>
              </m:e>
            </m:acc>
          </m:e>
          <m:sub>
            <m:r>
              <m:rPr>
                <m:sty m:val="p"/>
              </m:rPr>
              <w:rPr>
                <w:rFonts w:ascii="Cambria Math" w:eastAsia="Calibri" w:hAnsi="Cambria Math" w:cs="Times New Roman"/>
              </w:rPr>
              <m:t>RSU</m:t>
            </m:r>
          </m:sub>
        </m:sSub>
      </m:oMath>
      <w:r w:rsidR="007111F6">
        <w:rPr>
          <w:rFonts w:eastAsiaTheme="minorEastAsia"/>
        </w:rPr>
        <w:t xml:space="preserve">, ver </w:t>
      </w:r>
      <w:r w:rsidR="007111F6">
        <w:rPr>
          <w:rFonts w:eastAsiaTheme="minorEastAsia"/>
        </w:rPr>
        <w:fldChar w:fldCharType="begin"/>
      </w:r>
      <w:r w:rsidR="007111F6">
        <w:rPr>
          <w:rFonts w:eastAsiaTheme="minorEastAsia"/>
        </w:rPr>
        <w:instrText xml:space="preserve"> REF _Ref110488414 \h </w:instrText>
      </w:r>
      <w:r w:rsidR="007111F6">
        <w:rPr>
          <w:rFonts w:eastAsiaTheme="minorEastAsia"/>
        </w:rPr>
      </w:r>
      <w:r w:rsidR="007111F6">
        <w:rPr>
          <w:rFonts w:eastAsiaTheme="minorEastAsia"/>
        </w:rPr>
        <w:fldChar w:fldCharType="separate"/>
      </w:r>
      <w:r w:rsidR="007111F6" w:rsidRPr="00DA255A">
        <w:rPr>
          <w:sz w:val="18"/>
          <w:szCs w:val="16"/>
        </w:rPr>
        <w:t>Tabla 5</w:t>
      </w:r>
      <w:r w:rsidR="007111F6">
        <w:rPr>
          <w:rFonts w:eastAsiaTheme="minorEastAsia"/>
        </w:rPr>
        <w:fldChar w:fldCharType="end"/>
      </w:r>
      <w:r w:rsidR="00E827C7">
        <w:rPr>
          <w:rFonts w:eastAsiaTheme="minorEastAsia"/>
        </w:rPr>
        <w:t>, el flujo de CO</w:t>
      </w:r>
      <w:r w:rsidR="00E827C7" w:rsidRPr="006E5AD8">
        <w:rPr>
          <w:rFonts w:eastAsiaTheme="minorEastAsia"/>
          <w:vertAlign w:val="subscript"/>
        </w:rPr>
        <w:t>2</w:t>
      </w:r>
      <w:r w:rsidR="00E827C7">
        <w:rPr>
          <w:rFonts w:eastAsiaTheme="minorEastAsia"/>
        </w:rPr>
        <w:t xml:space="preserve"> </w:t>
      </w:r>
      <w:r w:rsidR="00574258">
        <w:rPr>
          <w:rFonts w:eastAsiaTheme="minorEastAsia"/>
        </w:rPr>
        <w:t>sería</w:t>
      </w:r>
      <w:r w:rsidR="00E827C7">
        <w:rPr>
          <w:rFonts w:eastAsiaTheme="minorEastAsia"/>
        </w:rPr>
        <w:t xml:space="preserve"> de 4,234 kg/s</w:t>
      </w:r>
      <w:r w:rsidR="00DB3D67">
        <w:rPr>
          <w:rFonts w:eastAsiaTheme="minorEastAsia"/>
        </w:rPr>
        <w:t xml:space="preserve">. Al generarse 40 MW entre electricidad y calor, </w:t>
      </w:r>
      <w:r w:rsidR="008373D2">
        <w:rPr>
          <w:rFonts w:eastAsiaTheme="minorEastAsia"/>
        </w:rPr>
        <w:t>resulta</w:t>
      </w:r>
      <w:r w:rsidR="00574258">
        <w:rPr>
          <w:rFonts w:eastAsiaTheme="minorEastAsia"/>
        </w:rPr>
        <w:t>ría</w:t>
      </w:r>
      <w:r w:rsidR="008373D2">
        <w:rPr>
          <w:rFonts w:eastAsiaTheme="minorEastAsia"/>
        </w:rPr>
        <w:t xml:space="preserve"> en la emisión de </w:t>
      </w:r>
      <w:r w:rsidR="000A15AB">
        <w:t>1,05</w:t>
      </w:r>
      <w:r w:rsidR="000A15AB">
        <w:rPr>
          <w:rFonts w:cs="Times New Roman"/>
        </w:rPr>
        <w:t>∙</w:t>
      </w:r>
      <w:r w:rsidR="000A15AB">
        <w:t>10</w:t>
      </w:r>
      <w:r w:rsidR="000A15AB" w:rsidRPr="00B52515">
        <w:rPr>
          <w:vertAlign w:val="superscript"/>
        </w:rPr>
        <w:t>-4</w:t>
      </w:r>
      <w:r w:rsidR="000A15AB">
        <w:t xml:space="preserve"> kgCO</w:t>
      </w:r>
      <w:r w:rsidR="000A15AB" w:rsidRPr="006E5AD8">
        <w:rPr>
          <w:vertAlign w:val="subscript"/>
        </w:rPr>
        <w:t>2</w:t>
      </w:r>
      <w:r w:rsidR="000A15AB">
        <w:t xml:space="preserve">/kJ, </w:t>
      </w:r>
      <w:r w:rsidR="00A310E3">
        <w:t>un 2,9% mayor al emitido utilizando combustión a leña.</w:t>
      </w:r>
      <w:r w:rsidR="00BA2327">
        <w:t xml:space="preserve"> Por otra parte, </w:t>
      </w:r>
      <w:r w:rsidR="007348A1">
        <w:t xml:space="preserve">el consumo anual de leña por vivienda </w:t>
      </w:r>
      <w:r w:rsidR="0098113D">
        <w:t xml:space="preserve">es </w:t>
      </w:r>
      <w:r w:rsidR="006B1FCB">
        <w:t xml:space="preserve">de </w:t>
      </w:r>
      <w:r w:rsidR="0086383E">
        <w:t xml:space="preserve">14,3 </w:t>
      </w:r>
      <w:r w:rsidR="00E77B5F">
        <w:t>m</w:t>
      </w:r>
      <w:r w:rsidR="00E77B5F" w:rsidRPr="00295BB6">
        <w:rPr>
          <w:vertAlign w:val="superscript"/>
        </w:rPr>
        <w:t>3</w:t>
      </w:r>
      <w:r w:rsidR="00E77B5F">
        <w:t>st</w:t>
      </w:r>
      <w:r w:rsidR="007F6EF0">
        <w:t xml:space="preserve"> </w:t>
      </w:r>
      <w:r w:rsidR="00C21A8D">
        <w:t>[23]</w:t>
      </w:r>
      <w:r w:rsidR="007F6EF0">
        <w:t>. Considerando el abastecimiento de</w:t>
      </w:r>
      <w:r w:rsidR="009963B7">
        <w:t xml:space="preserve"> </w:t>
      </w:r>
      <w:r w:rsidR="007F6EF0">
        <w:t xml:space="preserve">8.300 viviendas </w:t>
      </w:r>
      <w:r w:rsidR="00D661FA">
        <w:t>el uso del calor generado en la planta supondría el ahorro de 118.6</w:t>
      </w:r>
      <w:r w:rsidR="005806C2">
        <w:t>90 m</w:t>
      </w:r>
      <w:r w:rsidR="005806C2" w:rsidRPr="00295BB6">
        <w:rPr>
          <w:vertAlign w:val="superscript"/>
        </w:rPr>
        <w:t>3</w:t>
      </w:r>
      <w:r w:rsidR="005806C2">
        <w:t>st de madera</w:t>
      </w:r>
      <w:r w:rsidR="008C0C4C">
        <w:t xml:space="preserve"> y una importante reducción del CO emitido debido a </w:t>
      </w:r>
      <w:r w:rsidR="006F2CD3">
        <w:t>la combustión incompleta.</w:t>
      </w:r>
    </w:p>
    <w:p w14:paraId="48FD133E" w14:textId="2CD31745" w:rsidR="000D5F99" w:rsidRDefault="000D5F99" w:rsidP="00960B8F">
      <w:pPr>
        <w:pStyle w:val="Ttulo1"/>
      </w:pPr>
      <w:r>
        <w:t xml:space="preserve">Conclusiones </w:t>
      </w:r>
    </w:p>
    <w:p w14:paraId="39308E01" w14:textId="3996206C" w:rsidR="001401A3" w:rsidRDefault="00E55196" w:rsidP="001401A3">
      <w:r>
        <w:t xml:space="preserve">El </w:t>
      </w:r>
      <w:r w:rsidR="00222D97">
        <w:t>aprovechamiento del potencial energético</w:t>
      </w:r>
      <w:r>
        <w:t xml:space="preserve"> de </w:t>
      </w:r>
      <w:r w:rsidR="00222D97">
        <w:t xml:space="preserve">los RSU </w:t>
      </w:r>
      <w:r w:rsidR="00777F03">
        <w:t>conduce</w:t>
      </w:r>
      <w:r w:rsidR="00222D97">
        <w:t xml:space="preserve"> a </w:t>
      </w:r>
      <w:r w:rsidR="00437488">
        <w:t xml:space="preserve">reducir </w:t>
      </w:r>
      <w:r w:rsidR="001A4870">
        <w:t xml:space="preserve">el depósito de éstos en vertederos y basurales. De este modo, la aplicación de tecnologías </w:t>
      </w:r>
      <w:r w:rsidR="00C96381">
        <w:t xml:space="preserve">basadas en WtE como la incineración, contribuiría </w:t>
      </w:r>
      <w:r w:rsidR="00EE3082">
        <w:t xml:space="preserve">con el abastecimiento de calor de una proporción de las viviendas de la comuna de Valdivia. </w:t>
      </w:r>
    </w:p>
    <w:p w14:paraId="4F66B4E9" w14:textId="44A2DE0F" w:rsidR="00734001" w:rsidRDefault="00734001" w:rsidP="001401A3">
      <w:r>
        <w:t>Por otra parte</w:t>
      </w:r>
      <w:r w:rsidR="00FC78A6">
        <w:t>,</w:t>
      </w:r>
      <w:r>
        <w:t xml:space="preserve"> </w:t>
      </w:r>
      <w:r w:rsidR="00C50D91">
        <w:t>la emisión a la atmósfera de CO</w:t>
      </w:r>
      <w:r w:rsidR="00C50D91" w:rsidRPr="00AA0964">
        <w:rPr>
          <w:vertAlign w:val="subscript"/>
        </w:rPr>
        <w:t>2</w:t>
      </w:r>
      <w:r w:rsidR="00C50D91">
        <w:t xml:space="preserve"> del proceso de cogeneración de la planta sería </w:t>
      </w:r>
      <w:r w:rsidR="00730068">
        <w:t>2,9% superior al valor registrado en la</w:t>
      </w:r>
      <w:r w:rsidR="00931D1A">
        <w:t xml:space="preserve"> comuna</w:t>
      </w:r>
      <w:r w:rsidR="00161A2A">
        <w:t xml:space="preserve"> por el uso de leña para combustión</w:t>
      </w:r>
      <w:r w:rsidR="00931D1A">
        <w:t xml:space="preserve">. No obstante, </w:t>
      </w:r>
      <w:r w:rsidR="00C92797">
        <w:t xml:space="preserve">si la planta cuenta </w:t>
      </w:r>
      <w:r w:rsidR="00161A2A">
        <w:t xml:space="preserve">con un </w:t>
      </w:r>
      <w:r w:rsidR="00C92797">
        <w:t xml:space="preserve">apropiado sistema de limpieza de gases se </w:t>
      </w:r>
      <w:r w:rsidR="00C92797">
        <w:t xml:space="preserve">evitarían emisiones de CO y material particulado fino, </w:t>
      </w:r>
      <w:r w:rsidR="00AA0964">
        <w:t xml:space="preserve">PM10 y PM2,5 </w:t>
      </w:r>
      <w:r w:rsidR="00C92797">
        <w:t>como en la actualidad sucede</w:t>
      </w:r>
      <w:r w:rsidR="00417175">
        <w:t xml:space="preserve">. </w:t>
      </w:r>
      <w:r w:rsidR="008F79E8">
        <w:t>Desde el punto de vista de la eficiencia</w:t>
      </w:r>
      <w:r w:rsidR="004C23FA">
        <w:t xml:space="preserve"> energética</w:t>
      </w:r>
      <w:r w:rsidR="008F79E8">
        <w:t xml:space="preserve"> del proceso de cogeneración se debe preservar </w:t>
      </w:r>
      <w:r w:rsidR="004C23FA">
        <w:t xml:space="preserve">una proporción del vapor generado hacia el abastecimiento de calor. </w:t>
      </w:r>
      <w:r w:rsidR="00417175">
        <w:t xml:space="preserve">Finalmente, </w:t>
      </w:r>
      <w:r w:rsidR="000E66D7">
        <w:t>este proceso de cogeneración evitaría la quema de un volumen importante de madera</w:t>
      </w:r>
      <w:r w:rsidR="00683815">
        <w:t>.</w:t>
      </w:r>
    </w:p>
    <w:p w14:paraId="023AF4F0" w14:textId="6EED3207" w:rsidR="008D013E" w:rsidRDefault="00F05E94" w:rsidP="001401A3">
      <w:r>
        <w:t xml:space="preserve">Un estudio más detallado debe considerar aspectos clave como </w:t>
      </w:r>
      <w:r w:rsidR="00322BFB">
        <w:t>periodos de mayor demanda de energía diario y mensual</w:t>
      </w:r>
      <w:r w:rsidR="00511CBF">
        <w:t xml:space="preserve"> para ajustar la secuencia de operación. Por otra parte</w:t>
      </w:r>
      <w:r w:rsidR="007B4A70">
        <w:t>,</w:t>
      </w:r>
      <w:r w:rsidR="00F35C2A">
        <w:t xml:space="preserve"> </w:t>
      </w:r>
      <w:r w:rsidR="00C21D51">
        <w:t xml:space="preserve">la humedad tanto de los RSU como del ambiente influye en el rendimiento del proceso termodinámico; </w:t>
      </w:r>
      <w:r w:rsidR="008D013E">
        <w:t xml:space="preserve">un posterior análisis </w:t>
      </w:r>
      <w:r w:rsidR="004C321E">
        <w:t>debe tener en cuenta un proceso de deshumidificación</w:t>
      </w:r>
      <w:r w:rsidR="003F07DF">
        <w:t xml:space="preserve">, separación y homogeneización del tamaño de </w:t>
      </w:r>
      <w:r w:rsidR="008108C1">
        <w:t xml:space="preserve">los </w:t>
      </w:r>
      <w:r w:rsidR="003F07DF">
        <w:t xml:space="preserve">RSU y </w:t>
      </w:r>
      <w:r w:rsidR="008108C1">
        <w:t xml:space="preserve">una evaluación del </w:t>
      </w:r>
      <w:r w:rsidR="003F07DF">
        <w:t>precalentamiento del aire</w:t>
      </w:r>
      <w:r w:rsidR="008108C1">
        <w:t xml:space="preserve"> </w:t>
      </w:r>
      <w:r w:rsidR="00E531E3">
        <w:t>a la entrada de la cámara de combustión.</w:t>
      </w:r>
    </w:p>
    <w:p w14:paraId="5D87CC8A" w14:textId="3A587780" w:rsidR="00143A2B" w:rsidRDefault="00143A2B" w:rsidP="001401A3">
      <w:r>
        <w:t>Dado que el proceso de LGC conlleva la generación de residuos peligrosos como polvo, cenizas</w:t>
      </w:r>
      <w:r w:rsidR="008F6CD0">
        <w:t xml:space="preserve">, residuos líquidos, entre otros, deberá estudiarse </w:t>
      </w:r>
      <w:r w:rsidR="005C4BA5">
        <w:t xml:space="preserve">la mejor forma de </w:t>
      </w:r>
      <w:r w:rsidR="007B4A70">
        <w:t>su depósito o valorización y evitar posibles focos de contaminación.</w:t>
      </w:r>
    </w:p>
    <w:p w14:paraId="1E40FDFF" w14:textId="5C265AAC" w:rsidR="00C046DB" w:rsidRDefault="00A73D00" w:rsidP="001401A3">
      <w:r>
        <w:t>Es importante la realización de</w:t>
      </w:r>
      <w:r w:rsidR="00C046DB">
        <w:t xml:space="preserve"> un estudio paramétrico de </w:t>
      </w:r>
      <w:r>
        <w:t>variables como eficiencia de las calderas, y de turbinas y bombas</w:t>
      </w:r>
      <w:r w:rsidR="00336D01">
        <w:t xml:space="preserve"> con la finalidad de establecer </w:t>
      </w:r>
      <w:r w:rsidR="006F1D15">
        <w:t>un abanico de posibles escenarios de operación y generación energéticas.</w:t>
      </w:r>
    </w:p>
    <w:p w14:paraId="40093F06" w14:textId="5FE334F1" w:rsidR="009B4D5F" w:rsidRPr="00E34FCE" w:rsidRDefault="009B4D5F" w:rsidP="00960B8F">
      <w:pPr>
        <w:pStyle w:val="Ttulo1"/>
      </w:pPr>
      <w:r w:rsidRPr="00E34FCE">
        <w:t>R</w:t>
      </w:r>
      <w:r w:rsidR="006E4429" w:rsidRPr="00E34FCE">
        <w:t>eferencias</w:t>
      </w:r>
    </w:p>
    <w:p w14:paraId="78069C46" w14:textId="7DA44B1C" w:rsidR="00EF66CB" w:rsidRPr="00A0533F" w:rsidRDefault="00EF66CB" w:rsidP="007541F3">
      <w:pPr>
        <w:rPr>
          <w:noProof/>
          <w:lang w:val="en-US"/>
        </w:rPr>
      </w:pPr>
      <w:r w:rsidRPr="00A1305E">
        <w:rPr>
          <w:noProof/>
        </w:rPr>
        <w:t>[</w:t>
      </w:r>
      <w:r w:rsidR="00995BD4">
        <w:rPr>
          <w:noProof/>
        </w:rPr>
        <w:t>1</w:t>
      </w:r>
      <w:r w:rsidRPr="00A1305E">
        <w:rPr>
          <w:noProof/>
        </w:rPr>
        <w:t xml:space="preserve">] </w:t>
      </w:r>
      <w:r w:rsidR="00981CB2" w:rsidRPr="00A1305E">
        <w:rPr>
          <w:noProof/>
        </w:rPr>
        <w:t xml:space="preserve">A.V. Shah, V.K. </w:t>
      </w:r>
      <w:r w:rsidR="00A1305E" w:rsidRPr="00A1305E">
        <w:rPr>
          <w:noProof/>
        </w:rPr>
        <w:t xml:space="preserve">Srivastava, S.S. Mohanty, S. </w:t>
      </w:r>
      <w:r w:rsidR="00A1305E">
        <w:rPr>
          <w:noProof/>
        </w:rPr>
        <w:t xml:space="preserve">Varjani. </w:t>
      </w:r>
      <w:r w:rsidR="00A1305E" w:rsidRPr="00F26203">
        <w:rPr>
          <w:noProof/>
          <w:lang w:val="en-US"/>
        </w:rPr>
        <w:t xml:space="preserve">“Municipal solid waste </w:t>
      </w:r>
      <w:r w:rsidR="00F26203" w:rsidRPr="00F26203">
        <w:rPr>
          <w:noProof/>
          <w:lang w:val="en-US"/>
        </w:rPr>
        <w:t xml:space="preserve">as </w:t>
      </w:r>
      <w:r w:rsidR="00F26203">
        <w:rPr>
          <w:noProof/>
          <w:lang w:val="en-US"/>
        </w:rPr>
        <w:t xml:space="preserve">a </w:t>
      </w:r>
      <w:r w:rsidR="00F26203" w:rsidRPr="00F26203">
        <w:rPr>
          <w:noProof/>
          <w:lang w:val="en-US"/>
        </w:rPr>
        <w:t>s</w:t>
      </w:r>
      <w:r w:rsidR="00F26203">
        <w:rPr>
          <w:noProof/>
          <w:lang w:val="en-US"/>
        </w:rPr>
        <w:t>ustainable resource for energy production: State-of-the-art-review”</w:t>
      </w:r>
      <w:r w:rsidR="00A0533F">
        <w:rPr>
          <w:noProof/>
          <w:lang w:val="en-US"/>
        </w:rPr>
        <w:t xml:space="preserve">. </w:t>
      </w:r>
      <w:r w:rsidR="00A0533F">
        <w:rPr>
          <w:i/>
          <w:iCs/>
          <w:noProof/>
          <w:lang w:val="en-US"/>
        </w:rPr>
        <w:t>Journal of Environmental Chemical Engineering,</w:t>
      </w:r>
      <w:r w:rsidR="00A0533F">
        <w:rPr>
          <w:noProof/>
          <w:lang w:val="en-US"/>
        </w:rPr>
        <w:t xml:space="preserve"> </w:t>
      </w:r>
      <w:r w:rsidR="00770930">
        <w:rPr>
          <w:noProof/>
          <w:lang w:val="en-US"/>
        </w:rPr>
        <w:t>vol. 9, 105717, 2021.</w:t>
      </w:r>
    </w:p>
    <w:p w14:paraId="71028452" w14:textId="5CFB7564" w:rsidR="00EF66CB" w:rsidRDefault="00EF66CB" w:rsidP="007541F3">
      <w:pPr>
        <w:rPr>
          <w:noProof/>
          <w:lang w:val="en-US"/>
        </w:rPr>
      </w:pPr>
    </w:p>
    <w:p w14:paraId="2FBCA991" w14:textId="26E5118B" w:rsidR="00E0611A" w:rsidRPr="00B820A9" w:rsidRDefault="00164C6B" w:rsidP="007541F3">
      <w:pPr>
        <w:rPr>
          <w:noProof/>
          <w:lang w:val="en-US"/>
        </w:rPr>
      </w:pPr>
      <w:r w:rsidRPr="005F50C6">
        <w:rPr>
          <w:noProof/>
          <w:lang w:val="en-US"/>
        </w:rPr>
        <w:t>[</w:t>
      </w:r>
      <w:r w:rsidR="00995BD4" w:rsidRPr="005F50C6">
        <w:rPr>
          <w:noProof/>
          <w:lang w:val="en-US"/>
        </w:rPr>
        <w:t>2</w:t>
      </w:r>
      <w:r w:rsidRPr="005F50C6">
        <w:rPr>
          <w:noProof/>
          <w:lang w:val="en-US"/>
        </w:rPr>
        <w:t xml:space="preserve">] </w:t>
      </w:r>
      <w:r w:rsidR="00754D93" w:rsidRPr="005F50C6">
        <w:rPr>
          <w:noProof/>
          <w:lang w:val="en-US"/>
        </w:rPr>
        <w:t xml:space="preserve">S. Kaza, L. Yao, </w:t>
      </w:r>
      <w:r w:rsidR="00141A33" w:rsidRPr="005F50C6">
        <w:rPr>
          <w:noProof/>
          <w:lang w:val="en-US"/>
        </w:rPr>
        <w:t xml:space="preserve">P. Bhada, F. Van Woerden. </w:t>
      </w:r>
      <w:r w:rsidR="00141A33" w:rsidRPr="00750354">
        <w:rPr>
          <w:noProof/>
          <w:lang w:val="en-US"/>
        </w:rPr>
        <w:t xml:space="preserve">“What a waste 2.0. </w:t>
      </w:r>
      <w:r w:rsidR="00750354" w:rsidRPr="00750354">
        <w:rPr>
          <w:noProof/>
          <w:lang w:val="en-US"/>
        </w:rPr>
        <w:t>A G</w:t>
      </w:r>
      <w:r w:rsidR="00750354">
        <w:rPr>
          <w:noProof/>
          <w:lang w:val="en-US"/>
        </w:rPr>
        <w:t>lobal Snapshot of Solid Waste Management to 2050</w:t>
      </w:r>
      <w:r w:rsidR="0065084B">
        <w:rPr>
          <w:noProof/>
          <w:lang w:val="en-US"/>
        </w:rPr>
        <w:t>. Overview</w:t>
      </w:r>
      <w:r w:rsidR="00750354">
        <w:rPr>
          <w:noProof/>
          <w:lang w:val="en-US"/>
        </w:rPr>
        <w:t xml:space="preserve">”. </w:t>
      </w:r>
      <w:r w:rsidR="0065084B">
        <w:rPr>
          <w:noProof/>
          <w:lang w:val="en-US"/>
        </w:rPr>
        <w:t xml:space="preserve">Urban Development Series. </w:t>
      </w:r>
      <w:r w:rsidR="007D7472">
        <w:rPr>
          <w:noProof/>
          <w:lang w:val="en-US"/>
        </w:rPr>
        <w:t>World Bank Group</w:t>
      </w:r>
      <w:r w:rsidR="00D00182">
        <w:rPr>
          <w:noProof/>
          <w:lang w:val="en-US"/>
        </w:rPr>
        <w:t>,</w:t>
      </w:r>
      <w:r w:rsidR="007D7472">
        <w:rPr>
          <w:noProof/>
          <w:lang w:val="en-US"/>
        </w:rPr>
        <w:t xml:space="preserve"> 2018</w:t>
      </w:r>
      <w:r w:rsidR="00D00182">
        <w:rPr>
          <w:noProof/>
          <w:lang w:val="en-US"/>
        </w:rPr>
        <w:t xml:space="preserve"> [en línea]. </w:t>
      </w:r>
      <w:r w:rsidR="00D00182" w:rsidRPr="00B820A9">
        <w:rPr>
          <w:noProof/>
          <w:lang w:val="en-US"/>
        </w:rPr>
        <w:t>Disponible en</w:t>
      </w:r>
      <w:r w:rsidR="00E0611A" w:rsidRPr="00B820A9">
        <w:rPr>
          <w:noProof/>
          <w:lang w:val="en-US"/>
        </w:rPr>
        <w:t>:</w:t>
      </w:r>
      <w:r w:rsidR="00D00182" w:rsidRPr="00B820A9">
        <w:rPr>
          <w:noProof/>
          <w:lang w:val="en-US"/>
        </w:rPr>
        <w:t xml:space="preserve"> </w:t>
      </w:r>
      <w:hyperlink r:id="rId18" w:history="1">
        <w:r w:rsidR="00E0611A" w:rsidRPr="00B820A9">
          <w:rPr>
            <w:rStyle w:val="Hipervnculo"/>
            <w:noProof/>
            <w:lang w:val="en-US"/>
          </w:rPr>
          <w:t>https://openknowledge.worldbank.org/bitstream/</w:t>
        </w:r>
      </w:hyperlink>
    </w:p>
    <w:p w14:paraId="35D3646E" w14:textId="75F41453" w:rsidR="00164C6B" w:rsidRPr="00B820A9" w:rsidRDefault="00E0611A" w:rsidP="007541F3">
      <w:pPr>
        <w:rPr>
          <w:noProof/>
          <w:lang w:val="en-US"/>
        </w:rPr>
      </w:pPr>
      <w:r w:rsidRPr="00B820A9">
        <w:rPr>
          <w:noProof/>
          <w:lang w:val="en-US"/>
        </w:rPr>
        <w:t>handle/10986/30317/211329ov.pdf?sequence=11&amp;isAllowed=y</w:t>
      </w:r>
    </w:p>
    <w:p w14:paraId="3EE2F349" w14:textId="7B52EA9B" w:rsidR="00164C6B" w:rsidRDefault="00164C6B" w:rsidP="007541F3">
      <w:pPr>
        <w:rPr>
          <w:noProof/>
          <w:lang w:val="en-US"/>
        </w:rPr>
      </w:pPr>
    </w:p>
    <w:p w14:paraId="2E6E8FDA" w14:textId="34A3F582" w:rsidR="008D6066" w:rsidRDefault="007D3CFC" w:rsidP="007541F3">
      <w:pPr>
        <w:rPr>
          <w:noProof/>
          <w:lang w:val="es-CL"/>
        </w:rPr>
      </w:pPr>
      <w:r w:rsidRPr="00995BD4">
        <w:rPr>
          <w:noProof/>
          <w:lang w:val="es-ES"/>
        </w:rPr>
        <w:t>[</w:t>
      </w:r>
      <w:r w:rsidR="00995BD4" w:rsidRPr="00995BD4">
        <w:rPr>
          <w:noProof/>
          <w:lang w:val="es-ES"/>
        </w:rPr>
        <w:t>3</w:t>
      </w:r>
      <w:r w:rsidRPr="00995BD4">
        <w:rPr>
          <w:noProof/>
          <w:lang w:val="es-ES"/>
        </w:rPr>
        <w:t>]</w:t>
      </w:r>
      <w:r w:rsidR="006C3CF1" w:rsidRPr="00995BD4">
        <w:rPr>
          <w:noProof/>
          <w:lang w:val="es-ES"/>
        </w:rPr>
        <w:t xml:space="preserve"> D. Wilson, </w:t>
      </w:r>
      <w:r w:rsidR="00E17CDE" w:rsidRPr="00995BD4">
        <w:rPr>
          <w:noProof/>
          <w:lang w:val="es-ES"/>
        </w:rPr>
        <w:t xml:space="preserve">L. Rodic, P. Modak, R. Soos, A. Carpintero, </w:t>
      </w:r>
      <w:r w:rsidR="00831BC8" w:rsidRPr="00995BD4">
        <w:rPr>
          <w:noProof/>
          <w:lang w:val="es-ES"/>
        </w:rPr>
        <w:t>C. Velis, M. Iyer, O. Simonett</w:t>
      </w:r>
      <w:r w:rsidR="009008E9" w:rsidRPr="00995BD4">
        <w:rPr>
          <w:noProof/>
          <w:lang w:val="es-ES"/>
        </w:rPr>
        <w:t xml:space="preserve">. </w:t>
      </w:r>
      <w:r w:rsidR="009008E9" w:rsidRPr="005F50C6">
        <w:rPr>
          <w:noProof/>
          <w:lang w:val="es-CL"/>
        </w:rPr>
        <w:t xml:space="preserve">“Global Waste </w:t>
      </w:r>
      <w:r w:rsidR="00AA5ABB" w:rsidRPr="005F50C6">
        <w:rPr>
          <w:noProof/>
          <w:lang w:val="es-CL"/>
        </w:rPr>
        <w:t xml:space="preserve">Management Outlook”. </w:t>
      </w:r>
      <w:r w:rsidR="002136F2" w:rsidRPr="002136F2">
        <w:rPr>
          <w:noProof/>
          <w:lang w:val="es-CL"/>
        </w:rPr>
        <w:t>Programa de Medio ambiente de Naci</w:t>
      </w:r>
      <w:r w:rsidR="002136F2">
        <w:rPr>
          <w:noProof/>
          <w:lang w:val="es-CL"/>
        </w:rPr>
        <w:t>ones Unidas</w:t>
      </w:r>
      <w:r w:rsidR="00BA4208">
        <w:rPr>
          <w:noProof/>
          <w:lang w:val="es-CL"/>
        </w:rPr>
        <w:t>, 2015</w:t>
      </w:r>
      <w:r w:rsidR="00B32369">
        <w:rPr>
          <w:noProof/>
          <w:lang w:val="es-CL"/>
        </w:rPr>
        <w:t xml:space="preserve"> [en línea]</w:t>
      </w:r>
      <w:r w:rsidR="001E34F8">
        <w:rPr>
          <w:noProof/>
          <w:lang w:val="es-CL"/>
        </w:rPr>
        <w:t xml:space="preserve">. Disponible en </w:t>
      </w:r>
      <w:hyperlink r:id="rId19" w:history="1">
        <w:r w:rsidR="008D6066" w:rsidRPr="00907EEC">
          <w:rPr>
            <w:rStyle w:val="Hipervnculo"/>
            <w:noProof/>
            <w:lang w:val="es-CL"/>
          </w:rPr>
          <w:t>https://www.unep.org/resources/report/</w:t>
        </w:r>
      </w:hyperlink>
    </w:p>
    <w:p w14:paraId="36FF286E" w14:textId="682F762C" w:rsidR="007D3CFC" w:rsidRPr="005F50C6" w:rsidRDefault="00482400" w:rsidP="007541F3">
      <w:pPr>
        <w:rPr>
          <w:noProof/>
          <w:lang w:val="es-CL"/>
        </w:rPr>
      </w:pPr>
      <w:r w:rsidRPr="005F50C6">
        <w:rPr>
          <w:noProof/>
          <w:lang w:val="es-CL"/>
        </w:rPr>
        <w:t>global-waste-management-outlook</w:t>
      </w:r>
    </w:p>
    <w:p w14:paraId="36F0CBE7" w14:textId="77777777" w:rsidR="007D3CFC" w:rsidRPr="005F50C6" w:rsidRDefault="007D3CFC" w:rsidP="007541F3">
      <w:pPr>
        <w:rPr>
          <w:noProof/>
          <w:lang w:val="es-CL"/>
        </w:rPr>
      </w:pPr>
    </w:p>
    <w:p w14:paraId="6ADD3287" w14:textId="6D258610" w:rsidR="008E2DDC" w:rsidRDefault="001630AD" w:rsidP="007541F3">
      <w:pPr>
        <w:rPr>
          <w:noProof/>
          <w:lang w:val="en-US"/>
        </w:rPr>
      </w:pPr>
      <w:r w:rsidRPr="005F50C6">
        <w:rPr>
          <w:noProof/>
          <w:lang w:val="es-CL"/>
        </w:rPr>
        <w:t>[</w:t>
      </w:r>
      <w:r w:rsidR="00995BD4" w:rsidRPr="005F50C6">
        <w:rPr>
          <w:noProof/>
          <w:lang w:val="es-CL"/>
        </w:rPr>
        <w:t>4</w:t>
      </w:r>
      <w:r w:rsidRPr="005F50C6">
        <w:rPr>
          <w:noProof/>
          <w:lang w:val="es-CL"/>
        </w:rPr>
        <w:t>]</w:t>
      </w:r>
      <w:r w:rsidR="002B358B" w:rsidRPr="005F50C6">
        <w:rPr>
          <w:noProof/>
          <w:lang w:val="es-CL"/>
        </w:rPr>
        <w:t xml:space="preserve"> C. Mukherjee, J. Denney, E.G. Mbonimpa, J.</w:t>
      </w:r>
      <w:r w:rsidR="0068657A" w:rsidRPr="005F50C6">
        <w:rPr>
          <w:noProof/>
          <w:lang w:val="es-CL"/>
        </w:rPr>
        <w:t xml:space="preserve"> Sagley, R. Bhowmik. </w:t>
      </w:r>
      <w:r w:rsidR="0068657A" w:rsidRPr="0068657A">
        <w:rPr>
          <w:noProof/>
          <w:lang w:val="en-US"/>
        </w:rPr>
        <w:t>“A review on municipal solid waste-to-energy trends i</w:t>
      </w:r>
      <w:r w:rsidR="0068657A">
        <w:rPr>
          <w:noProof/>
          <w:lang w:val="en-US"/>
        </w:rPr>
        <w:t>n the USA”</w:t>
      </w:r>
      <w:r w:rsidR="00531BA2">
        <w:rPr>
          <w:noProof/>
          <w:lang w:val="en-US"/>
        </w:rPr>
        <w:t xml:space="preserve">. </w:t>
      </w:r>
      <w:r w:rsidR="00531BA2">
        <w:rPr>
          <w:i/>
          <w:iCs/>
          <w:noProof/>
          <w:lang w:val="en-US"/>
        </w:rPr>
        <w:t>Renewable and Sustainable Energy Reviews,</w:t>
      </w:r>
      <w:r w:rsidR="00531BA2">
        <w:rPr>
          <w:noProof/>
          <w:lang w:val="en-US"/>
        </w:rPr>
        <w:t xml:space="preserve"> </w:t>
      </w:r>
      <w:r w:rsidR="005249B2">
        <w:rPr>
          <w:noProof/>
          <w:lang w:val="en-US"/>
        </w:rPr>
        <w:t>vol. 119, 109512</w:t>
      </w:r>
      <w:r w:rsidR="008E2DDC">
        <w:rPr>
          <w:noProof/>
          <w:lang w:val="en-US"/>
        </w:rPr>
        <w:t xml:space="preserve">, 2020. </w:t>
      </w:r>
    </w:p>
    <w:p w14:paraId="513DD2F6" w14:textId="5329373C" w:rsidR="001630AD" w:rsidRDefault="007D63EF" w:rsidP="007541F3">
      <w:pPr>
        <w:rPr>
          <w:noProof/>
          <w:lang w:val="en-US"/>
        </w:rPr>
      </w:pPr>
      <w:hyperlink r:id="rId20" w:history="1">
        <w:r w:rsidR="00BE56CD" w:rsidRPr="00BE3BEC">
          <w:rPr>
            <w:rStyle w:val="Hipervnculo"/>
            <w:noProof/>
            <w:lang w:val="en-US"/>
          </w:rPr>
          <w:t>https://doi.org/10.1016/j.rser.2019.109512</w:t>
        </w:r>
      </w:hyperlink>
    </w:p>
    <w:p w14:paraId="77892F71" w14:textId="705CFBEA" w:rsidR="001630AD" w:rsidRDefault="001630AD" w:rsidP="007541F3">
      <w:pPr>
        <w:rPr>
          <w:noProof/>
          <w:lang w:val="en-US"/>
        </w:rPr>
      </w:pPr>
    </w:p>
    <w:p w14:paraId="1F2ABAFE" w14:textId="70F21BDF" w:rsidR="00CE720E" w:rsidRDefault="009D2209" w:rsidP="007541F3">
      <w:pPr>
        <w:rPr>
          <w:noProof/>
          <w:lang w:val="en-US"/>
        </w:rPr>
      </w:pPr>
      <w:r w:rsidRPr="009475CB">
        <w:rPr>
          <w:noProof/>
          <w:lang w:val="en-US"/>
        </w:rPr>
        <w:t>[</w:t>
      </w:r>
      <w:r w:rsidR="00680E84">
        <w:rPr>
          <w:noProof/>
          <w:lang w:val="en-US"/>
        </w:rPr>
        <w:t>5</w:t>
      </w:r>
      <w:r w:rsidRPr="009475CB">
        <w:rPr>
          <w:noProof/>
          <w:lang w:val="en-US"/>
        </w:rPr>
        <w:t xml:space="preserve">] </w:t>
      </w:r>
      <w:r w:rsidR="009475CB" w:rsidRPr="009475CB">
        <w:rPr>
          <w:noProof/>
          <w:lang w:val="en-US"/>
        </w:rPr>
        <w:t>M.A. Rajaeifar, H. Ghanavati, B.B Das</w:t>
      </w:r>
      <w:r w:rsidR="009475CB">
        <w:rPr>
          <w:noProof/>
          <w:lang w:val="en-US"/>
        </w:rPr>
        <w:t xml:space="preserve">hti, </w:t>
      </w:r>
      <w:r w:rsidR="00ED4995">
        <w:rPr>
          <w:noProof/>
          <w:lang w:val="en-US"/>
        </w:rPr>
        <w:t>R. Heijungs, M. Aghbashlo, M. Tabataba</w:t>
      </w:r>
      <w:r w:rsidR="001664BD">
        <w:rPr>
          <w:noProof/>
          <w:lang w:val="en-US"/>
        </w:rPr>
        <w:t xml:space="preserve">ei. “Electricity generation and GHG emission reduction potentials </w:t>
      </w:r>
      <w:r w:rsidR="001664BD">
        <w:rPr>
          <w:noProof/>
          <w:lang w:val="en-US"/>
        </w:rPr>
        <w:lastRenderedPageBreak/>
        <w:t>through different municipal solid waste management technologies: A comparative review”</w:t>
      </w:r>
      <w:r w:rsidR="00BC23E1">
        <w:rPr>
          <w:noProof/>
          <w:lang w:val="en-US"/>
        </w:rPr>
        <w:t xml:space="preserve">. </w:t>
      </w:r>
      <w:r w:rsidR="00BC23E1">
        <w:rPr>
          <w:i/>
          <w:iCs/>
          <w:noProof/>
          <w:lang w:val="en-US"/>
        </w:rPr>
        <w:t>Renewable and Sustainable Energy Reviews</w:t>
      </w:r>
      <w:r w:rsidR="00FF71D1">
        <w:rPr>
          <w:i/>
          <w:iCs/>
          <w:noProof/>
          <w:lang w:val="en-US"/>
        </w:rPr>
        <w:t>,</w:t>
      </w:r>
      <w:r w:rsidR="00FF71D1">
        <w:rPr>
          <w:noProof/>
          <w:lang w:val="en-US"/>
        </w:rPr>
        <w:t xml:space="preserve"> vol. 79, pp. 414-439, 2017</w:t>
      </w:r>
      <w:r w:rsidR="00CE720E">
        <w:rPr>
          <w:noProof/>
          <w:lang w:val="en-US"/>
        </w:rPr>
        <w:t xml:space="preserve">. </w:t>
      </w:r>
      <w:hyperlink r:id="rId21" w:history="1">
        <w:r w:rsidR="00CE720E" w:rsidRPr="00907EEC">
          <w:rPr>
            <w:rStyle w:val="Hipervnculo"/>
            <w:noProof/>
            <w:lang w:val="en-US"/>
          </w:rPr>
          <w:t>http://dx.doi.org/10.1016/</w:t>
        </w:r>
      </w:hyperlink>
    </w:p>
    <w:p w14:paraId="59CB7583" w14:textId="3A9271F6" w:rsidR="009D2209" w:rsidRPr="00824ABC" w:rsidRDefault="00CE720E" w:rsidP="007541F3">
      <w:pPr>
        <w:rPr>
          <w:noProof/>
          <w:lang w:val="en-US"/>
        </w:rPr>
      </w:pPr>
      <w:r w:rsidRPr="00824ABC">
        <w:rPr>
          <w:noProof/>
          <w:lang w:val="en-US"/>
        </w:rPr>
        <w:t>j.rser.2017.04.109</w:t>
      </w:r>
    </w:p>
    <w:p w14:paraId="498836EB" w14:textId="4B292085" w:rsidR="009D2209" w:rsidRPr="00824ABC" w:rsidRDefault="009D2209" w:rsidP="007541F3">
      <w:pPr>
        <w:rPr>
          <w:noProof/>
          <w:lang w:val="en-US"/>
        </w:rPr>
      </w:pPr>
    </w:p>
    <w:p w14:paraId="03D16D1B" w14:textId="769BB31C" w:rsidR="00C806AD" w:rsidRDefault="00C806AD" w:rsidP="007541F3">
      <w:pPr>
        <w:rPr>
          <w:noProof/>
          <w:lang w:val="es-CL"/>
        </w:rPr>
      </w:pPr>
      <w:r w:rsidRPr="00824ABC">
        <w:rPr>
          <w:noProof/>
          <w:lang w:val="en-US"/>
        </w:rPr>
        <w:t>[</w:t>
      </w:r>
      <w:r w:rsidR="00680E84">
        <w:rPr>
          <w:noProof/>
          <w:lang w:val="en-US"/>
        </w:rPr>
        <w:t>6</w:t>
      </w:r>
      <w:r w:rsidRPr="00824ABC">
        <w:rPr>
          <w:noProof/>
          <w:lang w:val="en-US"/>
        </w:rPr>
        <w:t xml:space="preserve">] S. Khan, R. Anjum, S.T. Raza, N.A. Bazai, M. Ihtisham. </w:t>
      </w:r>
      <w:r>
        <w:rPr>
          <w:noProof/>
          <w:lang w:val="en-US"/>
        </w:rPr>
        <w:t xml:space="preserve">“Technologies for municipal solid waste management: Current status, challenges and future perspectives”. </w:t>
      </w:r>
      <w:r w:rsidRPr="00824ABC">
        <w:rPr>
          <w:i/>
          <w:iCs/>
          <w:noProof/>
          <w:lang w:val="es-CL"/>
        </w:rPr>
        <w:t>Chemosphere,</w:t>
      </w:r>
      <w:r w:rsidRPr="00824ABC">
        <w:rPr>
          <w:noProof/>
          <w:lang w:val="es-CL"/>
        </w:rPr>
        <w:t xml:space="preserve"> vol. 288, 132403, 2022. </w:t>
      </w:r>
      <w:hyperlink r:id="rId22" w:history="1">
        <w:r w:rsidRPr="00824ABC">
          <w:rPr>
            <w:rStyle w:val="Hipervnculo"/>
            <w:noProof/>
            <w:lang w:val="es-CL"/>
          </w:rPr>
          <w:t>https://doi.org/10.1016/j.chemosphere.2021.132403</w:t>
        </w:r>
      </w:hyperlink>
    </w:p>
    <w:p w14:paraId="5B242910" w14:textId="77777777" w:rsidR="00C806AD" w:rsidRPr="004C6DC7" w:rsidRDefault="00C806AD" w:rsidP="007541F3">
      <w:pPr>
        <w:rPr>
          <w:noProof/>
          <w:lang w:val="es-CL"/>
        </w:rPr>
      </w:pPr>
    </w:p>
    <w:p w14:paraId="17B9CCB4" w14:textId="3FFA3C85" w:rsidR="004E46B2" w:rsidRPr="003B26C1" w:rsidRDefault="004E46B2" w:rsidP="007541F3">
      <w:pPr>
        <w:rPr>
          <w:lang w:val="en-US"/>
        </w:rPr>
      </w:pPr>
      <w:r w:rsidRPr="007E5188">
        <w:rPr>
          <w:noProof/>
          <w:lang w:val="es-CL"/>
        </w:rPr>
        <w:t>[</w:t>
      </w:r>
      <w:r w:rsidR="00680E84">
        <w:rPr>
          <w:noProof/>
          <w:lang w:val="es-CL"/>
        </w:rPr>
        <w:t>7</w:t>
      </w:r>
      <w:r w:rsidRPr="007E5188">
        <w:rPr>
          <w:noProof/>
          <w:lang w:val="es-CL"/>
        </w:rPr>
        <w:t xml:space="preserve">] </w:t>
      </w:r>
      <w:r w:rsidR="007E5188" w:rsidRPr="007E5188">
        <w:rPr>
          <w:noProof/>
          <w:lang w:val="es-CL"/>
        </w:rPr>
        <w:t>S. Azami, M. T</w:t>
      </w:r>
      <w:r w:rsidR="007E5188">
        <w:rPr>
          <w:noProof/>
          <w:lang w:val="es-CL"/>
        </w:rPr>
        <w:t>aheri, O. Pourali, F. Torabi</w:t>
      </w:r>
      <w:r w:rsidR="00EA0ACC">
        <w:rPr>
          <w:noProof/>
          <w:lang w:val="es-CL"/>
        </w:rPr>
        <w:t xml:space="preserve">. </w:t>
      </w:r>
      <w:r w:rsidR="00EA0ACC" w:rsidRPr="00EA0ACC">
        <w:rPr>
          <w:noProof/>
          <w:lang w:val="en-US"/>
        </w:rPr>
        <w:t>“Energy and exergy analy</w:t>
      </w:r>
      <w:r w:rsidR="00EA0ACC">
        <w:rPr>
          <w:noProof/>
          <w:lang w:val="en-US"/>
        </w:rPr>
        <w:t>ses of a mass-fired boiler for a proposed waste-to-energy power plant in Tehran”</w:t>
      </w:r>
      <w:r w:rsidR="004C18D1">
        <w:rPr>
          <w:noProof/>
          <w:lang w:val="en-US"/>
        </w:rPr>
        <w:t xml:space="preserve">. </w:t>
      </w:r>
      <w:r w:rsidR="004C18D1">
        <w:rPr>
          <w:i/>
          <w:iCs/>
          <w:noProof/>
          <w:lang w:val="en-US"/>
        </w:rPr>
        <w:t>Applied Thermal Engineering,</w:t>
      </w:r>
      <w:r w:rsidR="004C18D1">
        <w:rPr>
          <w:noProof/>
          <w:lang w:val="en-US"/>
        </w:rPr>
        <w:t xml:space="preserve"> </w:t>
      </w:r>
      <w:r w:rsidR="001B08EE">
        <w:rPr>
          <w:noProof/>
          <w:lang w:val="en-US"/>
        </w:rPr>
        <w:t>vol. 140, pp. 520-530, 2018</w:t>
      </w:r>
      <w:r w:rsidR="00AF30F7">
        <w:rPr>
          <w:noProof/>
          <w:lang w:val="en-US"/>
        </w:rPr>
        <w:t>.</w:t>
      </w:r>
      <w:hyperlink r:id="rId23" w:history="1">
        <w:r w:rsidR="00752C5D" w:rsidRPr="00AF2F24">
          <w:rPr>
            <w:rStyle w:val="Hipervnculo"/>
            <w:lang w:val="en-US"/>
          </w:rPr>
          <w:t>https://doi.org/10.1016/j.applthermaleng.2018.05.045</w:t>
        </w:r>
      </w:hyperlink>
    </w:p>
    <w:p w14:paraId="072C3374" w14:textId="3E318CA6" w:rsidR="00BE56CD" w:rsidRPr="003B26C1" w:rsidRDefault="00BE56CD" w:rsidP="007541F3">
      <w:pPr>
        <w:rPr>
          <w:lang w:val="en-US"/>
        </w:rPr>
      </w:pPr>
    </w:p>
    <w:p w14:paraId="02D2C9F2" w14:textId="333ABD8C" w:rsidR="00001CFE" w:rsidRDefault="00312AEF" w:rsidP="007541F3">
      <w:pPr>
        <w:rPr>
          <w:noProof/>
          <w:lang w:val="es-CL"/>
        </w:rPr>
      </w:pPr>
      <w:r w:rsidRPr="00141144">
        <w:rPr>
          <w:noProof/>
          <w:lang w:val="es-CL"/>
        </w:rPr>
        <w:t>[</w:t>
      </w:r>
      <w:r w:rsidR="00752C5D">
        <w:rPr>
          <w:noProof/>
          <w:lang w:val="es-CL"/>
        </w:rPr>
        <w:t>8</w:t>
      </w:r>
      <w:r w:rsidRPr="00141144">
        <w:rPr>
          <w:noProof/>
          <w:lang w:val="es-CL"/>
        </w:rPr>
        <w:t xml:space="preserve">] A. Savino, </w:t>
      </w:r>
      <w:r w:rsidR="00141144" w:rsidRPr="00141144">
        <w:rPr>
          <w:noProof/>
          <w:lang w:val="es-CL"/>
        </w:rPr>
        <w:t>G. Sol</w:t>
      </w:r>
      <w:r w:rsidR="00141144">
        <w:rPr>
          <w:noProof/>
          <w:lang w:val="es-CL"/>
        </w:rPr>
        <w:t xml:space="preserve">órzano, </w:t>
      </w:r>
      <w:r w:rsidR="001A484A">
        <w:rPr>
          <w:noProof/>
          <w:lang w:val="es-CL"/>
        </w:rPr>
        <w:t xml:space="preserve">C. Quispe, </w:t>
      </w:r>
      <w:r w:rsidR="001355C1">
        <w:rPr>
          <w:noProof/>
          <w:lang w:val="es-CL"/>
        </w:rPr>
        <w:t xml:space="preserve">M.C. Correal. </w:t>
      </w:r>
      <w:r w:rsidR="001355C1" w:rsidRPr="00232BA6">
        <w:rPr>
          <w:noProof/>
          <w:lang w:val="es-CL"/>
        </w:rPr>
        <w:t>“</w:t>
      </w:r>
      <w:r w:rsidR="00232BA6" w:rsidRPr="00232BA6">
        <w:rPr>
          <w:noProof/>
          <w:lang w:val="es-CL"/>
        </w:rPr>
        <w:t>Perspectiva de la Gestión de Residuos en América Latina y el Ca</w:t>
      </w:r>
      <w:r w:rsidR="00232BA6">
        <w:rPr>
          <w:noProof/>
          <w:lang w:val="es-CL"/>
        </w:rPr>
        <w:t>ribe</w:t>
      </w:r>
      <w:r w:rsidR="007C36C7" w:rsidRPr="00232BA6">
        <w:rPr>
          <w:noProof/>
          <w:lang w:val="es-CL"/>
        </w:rPr>
        <w:t>”</w:t>
      </w:r>
      <w:r w:rsidR="003D4704">
        <w:rPr>
          <w:noProof/>
          <w:lang w:val="es-CL"/>
        </w:rPr>
        <w:t>. Organización de las Naciones Unidas, Medio Ambiente</w:t>
      </w:r>
      <w:r w:rsidR="00166F5A">
        <w:rPr>
          <w:noProof/>
          <w:lang w:val="es-CL"/>
        </w:rPr>
        <w:t>, 2018 [en línea]</w:t>
      </w:r>
      <w:r w:rsidR="0062487A">
        <w:rPr>
          <w:noProof/>
          <w:lang w:val="es-CL"/>
        </w:rPr>
        <w:t xml:space="preserve">. Disponible en: </w:t>
      </w:r>
      <w:hyperlink r:id="rId24" w:history="1">
        <w:r w:rsidR="00001CFE" w:rsidRPr="001620B8">
          <w:rPr>
            <w:rStyle w:val="Hipervnculo"/>
            <w:noProof/>
            <w:lang w:val="es-CL"/>
          </w:rPr>
          <w:t>https://www.unep.org/ietc/resources/</w:t>
        </w:r>
      </w:hyperlink>
    </w:p>
    <w:p w14:paraId="0DED85AA" w14:textId="1F1E2C87" w:rsidR="00312AEF" w:rsidRDefault="00001CFE" w:rsidP="007541F3">
      <w:pPr>
        <w:rPr>
          <w:noProof/>
          <w:lang w:val="en-US"/>
        </w:rPr>
      </w:pPr>
      <w:r w:rsidRPr="00001CFE">
        <w:rPr>
          <w:noProof/>
          <w:lang w:val="en-US"/>
        </w:rPr>
        <w:t>publication/waste-management-outlook-latin-america-and-caribbean</w:t>
      </w:r>
    </w:p>
    <w:p w14:paraId="639F0438" w14:textId="6671B5A1" w:rsidR="00D65D56" w:rsidRDefault="00D65D56" w:rsidP="007541F3">
      <w:pPr>
        <w:rPr>
          <w:noProof/>
          <w:lang w:val="en-US"/>
        </w:rPr>
      </w:pPr>
    </w:p>
    <w:p w14:paraId="3351C0CC" w14:textId="448E149F" w:rsidR="00D65D56" w:rsidRPr="00B84FF1" w:rsidRDefault="00E95267" w:rsidP="007541F3">
      <w:pPr>
        <w:rPr>
          <w:noProof/>
          <w:lang w:val="en-US"/>
        </w:rPr>
      </w:pPr>
      <w:r w:rsidRPr="00752C5D">
        <w:rPr>
          <w:noProof/>
          <w:lang w:val="es-ES"/>
        </w:rPr>
        <w:t>[</w:t>
      </w:r>
      <w:r w:rsidR="00752C5D" w:rsidRPr="00752C5D">
        <w:rPr>
          <w:noProof/>
          <w:lang w:val="es-ES"/>
        </w:rPr>
        <w:t>9</w:t>
      </w:r>
      <w:r w:rsidRPr="00752C5D">
        <w:rPr>
          <w:noProof/>
          <w:lang w:val="es-ES"/>
        </w:rPr>
        <w:t xml:space="preserve">] H. Hettiarachchi, </w:t>
      </w:r>
      <w:r w:rsidR="00CE1959" w:rsidRPr="00752C5D">
        <w:rPr>
          <w:noProof/>
          <w:lang w:val="es-ES"/>
        </w:rPr>
        <w:t xml:space="preserve">S. Ryu, S. Caucci, R. Silva. </w:t>
      </w:r>
      <w:r w:rsidR="00CE1959">
        <w:rPr>
          <w:noProof/>
          <w:lang w:val="en-US"/>
        </w:rPr>
        <w:t xml:space="preserve">“Municipal Solid Waste Management in Latin America and the Caribbean: Issues and Potential </w:t>
      </w:r>
      <w:r w:rsidR="00333283">
        <w:rPr>
          <w:noProof/>
          <w:lang w:val="en-US"/>
        </w:rPr>
        <w:t>So</w:t>
      </w:r>
      <w:r w:rsidR="00CE1959">
        <w:rPr>
          <w:noProof/>
          <w:lang w:val="en-US"/>
        </w:rPr>
        <w:t>lutions</w:t>
      </w:r>
      <w:r w:rsidR="00333283">
        <w:rPr>
          <w:noProof/>
          <w:lang w:val="en-US"/>
        </w:rPr>
        <w:t xml:space="preserve"> from the Governance </w:t>
      </w:r>
      <w:r w:rsidR="00B84FF1">
        <w:rPr>
          <w:noProof/>
          <w:lang w:val="en-US"/>
        </w:rPr>
        <w:t>P</w:t>
      </w:r>
      <w:r w:rsidR="00333283">
        <w:rPr>
          <w:noProof/>
          <w:lang w:val="en-US"/>
        </w:rPr>
        <w:t>erspective”</w:t>
      </w:r>
      <w:r w:rsidR="00B84FF1">
        <w:rPr>
          <w:noProof/>
          <w:lang w:val="en-US"/>
        </w:rPr>
        <w:t xml:space="preserve">. </w:t>
      </w:r>
      <w:r w:rsidR="00B84FF1">
        <w:rPr>
          <w:i/>
          <w:iCs/>
          <w:noProof/>
          <w:lang w:val="en-US"/>
        </w:rPr>
        <w:t>Recycling,</w:t>
      </w:r>
      <w:r w:rsidR="00B84FF1">
        <w:rPr>
          <w:noProof/>
          <w:lang w:val="en-US"/>
        </w:rPr>
        <w:t xml:space="preserve"> </w:t>
      </w:r>
      <w:r w:rsidR="006B2CF8">
        <w:rPr>
          <w:noProof/>
          <w:lang w:val="en-US"/>
        </w:rPr>
        <w:t xml:space="preserve">vol. 3, núm. </w:t>
      </w:r>
      <w:r w:rsidR="003F365F">
        <w:rPr>
          <w:noProof/>
          <w:lang w:val="en-US"/>
        </w:rPr>
        <w:t>2</w:t>
      </w:r>
      <w:r w:rsidR="00674549">
        <w:rPr>
          <w:noProof/>
          <w:lang w:val="en-US"/>
        </w:rPr>
        <w:t xml:space="preserve">, 2018. Doi: </w:t>
      </w:r>
      <w:r w:rsidR="00A66DB1" w:rsidRPr="00A66DB1">
        <w:rPr>
          <w:noProof/>
          <w:lang w:val="en-US"/>
        </w:rPr>
        <w:t>10.3390/recycling3020019</w:t>
      </w:r>
      <w:r w:rsidR="00A66DB1">
        <w:rPr>
          <w:noProof/>
          <w:lang w:val="en-US"/>
        </w:rPr>
        <w:t>.</w:t>
      </w:r>
    </w:p>
    <w:p w14:paraId="520DD7D8" w14:textId="074A354D" w:rsidR="00D65D56" w:rsidRDefault="00D65D56" w:rsidP="007541F3">
      <w:pPr>
        <w:rPr>
          <w:noProof/>
          <w:lang w:val="en-US"/>
        </w:rPr>
      </w:pPr>
    </w:p>
    <w:p w14:paraId="44EB8D49" w14:textId="3DC03084" w:rsidR="00D10ACD" w:rsidRDefault="00D10ACD" w:rsidP="007541F3">
      <w:pPr>
        <w:rPr>
          <w:noProof/>
          <w:lang w:val="en-US"/>
        </w:rPr>
      </w:pPr>
      <w:r w:rsidRPr="005F50C6">
        <w:rPr>
          <w:noProof/>
          <w:lang w:val="en-US"/>
        </w:rPr>
        <w:t>[</w:t>
      </w:r>
      <w:r w:rsidR="00752C5D" w:rsidRPr="005F50C6">
        <w:rPr>
          <w:noProof/>
          <w:lang w:val="en-US"/>
        </w:rPr>
        <w:t>10</w:t>
      </w:r>
      <w:r w:rsidRPr="005F50C6">
        <w:rPr>
          <w:noProof/>
          <w:lang w:val="en-US"/>
        </w:rPr>
        <w:t xml:space="preserve">] L.M. Ulloa-Murillo, </w:t>
      </w:r>
      <w:r w:rsidR="003904B0" w:rsidRPr="005F50C6">
        <w:rPr>
          <w:noProof/>
          <w:lang w:val="en-US"/>
        </w:rPr>
        <w:t>L.M. Villegas, A.R. Roodríguez-Ortiz, M. Duque</w:t>
      </w:r>
      <w:r w:rsidR="00AE1044" w:rsidRPr="005F50C6">
        <w:rPr>
          <w:noProof/>
          <w:lang w:val="en-US"/>
        </w:rPr>
        <w:t xml:space="preserve">-Acevedo, F.J. Cortés-García. </w:t>
      </w:r>
      <w:r w:rsidR="00AE1044" w:rsidRPr="00D37D6F">
        <w:rPr>
          <w:noProof/>
          <w:lang w:val="en-US"/>
        </w:rPr>
        <w:t>“</w:t>
      </w:r>
      <w:r w:rsidR="00806E68" w:rsidRPr="00D37D6F">
        <w:rPr>
          <w:noProof/>
          <w:lang w:val="en-US"/>
        </w:rPr>
        <w:t xml:space="preserve">Management </w:t>
      </w:r>
      <w:r w:rsidR="00806E68">
        <w:rPr>
          <w:noProof/>
          <w:lang w:val="en-US"/>
        </w:rPr>
        <w:t>o</w:t>
      </w:r>
      <w:r w:rsidR="00806E68" w:rsidRPr="00D37D6F">
        <w:rPr>
          <w:noProof/>
          <w:lang w:val="en-US"/>
        </w:rPr>
        <w:t xml:space="preserve">f </w:t>
      </w:r>
      <w:r w:rsidR="00806E68">
        <w:rPr>
          <w:noProof/>
          <w:lang w:val="en-US"/>
        </w:rPr>
        <w:t>t</w:t>
      </w:r>
      <w:r w:rsidR="00806E68" w:rsidRPr="00D37D6F">
        <w:rPr>
          <w:noProof/>
          <w:lang w:val="en-US"/>
        </w:rPr>
        <w:t xml:space="preserve">he Organic Fraction </w:t>
      </w:r>
      <w:r w:rsidR="00806E68">
        <w:rPr>
          <w:noProof/>
          <w:lang w:val="en-US"/>
        </w:rPr>
        <w:t>o</w:t>
      </w:r>
      <w:r w:rsidR="00806E68" w:rsidRPr="00D37D6F">
        <w:rPr>
          <w:noProof/>
          <w:lang w:val="en-US"/>
        </w:rPr>
        <w:t xml:space="preserve">f Municipal Solid Waste </w:t>
      </w:r>
      <w:r w:rsidR="00806E68">
        <w:rPr>
          <w:noProof/>
          <w:lang w:val="en-US"/>
        </w:rPr>
        <w:t xml:space="preserve">in the Context of Sustainable </w:t>
      </w:r>
      <w:r w:rsidR="00213010">
        <w:rPr>
          <w:noProof/>
          <w:lang w:val="en-US"/>
        </w:rPr>
        <w:t>a</w:t>
      </w:r>
      <w:r w:rsidR="00806E68">
        <w:rPr>
          <w:noProof/>
          <w:lang w:val="en-US"/>
        </w:rPr>
        <w:t xml:space="preserve">nd Circular Model: Analysis </w:t>
      </w:r>
      <w:r w:rsidR="00213010">
        <w:rPr>
          <w:noProof/>
          <w:lang w:val="en-US"/>
        </w:rPr>
        <w:t>o</w:t>
      </w:r>
      <w:r w:rsidR="00806E68">
        <w:rPr>
          <w:noProof/>
          <w:lang w:val="en-US"/>
        </w:rPr>
        <w:t xml:space="preserve">f Trends </w:t>
      </w:r>
      <w:r w:rsidR="00213010">
        <w:rPr>
          <w:noProof/>
          <w:lang w:val="en-US"/>
        </w:rPr>
        <w:t>i</w:t>
      </w:r>
      <w:r w:rsidR="00806E68">
        <w:rPr>
          <w:noProof/>
          <w:lang w:val="en-US"/>
        </w:rPr>
        <w:t xml:space="preserve">n Latin America </w:t>
      </w:r>
      <w:r w:rsidR="00213010">
        <w:rPr>
          <w:noProof/>
          <w:lang w:val="en-US"/>
        </w:rPr>
        <w:t>a</w:t>
      </w:r>
      <w:r w:rsidR="00806E68">
        <w:rPr>
          <w:noProof/>
          <w:lang w:val="en-US"/>
        </w:rPr>
        <w:t xml:space="preserve">nd </w:t>
      </w:r>
      <w:r w:rsidR="00213010">
        <w:rPr>
          <w:noProof/>
          <w:lang w:val="en-US"/>
        </w:rPr>
        <w:t>t</w:t>
      </w:r>
      <w:r w:rsidR="00806E68">
        <w:rPr>
          <w:noProof/>
          <w:lang w:val="en-US"/>
        </w:rPr>
        <w:t>he Caribbean</w:t>
      </w:r>
      <w:r w:rsidR="00D37D6F">
        <w:rPr>
          <w:noProof/>
          <w:lang w:val="en-US"/>
        </w:rPr>
        <w:t>”</w:t>
      </w:r>
      <w:r w:rsidR="00806E68">
        <w:rPr>
          <w:noProof/>
          <w:lang w:val="en-US"/>
        </w:rPr>
        <w:t>.</w:t>
      </w:r>
      <w:r w:rsidR="009B16D4">
        <w:rPr>
          <w:noProof/>
          <w:lang w:val="en-US"/>
        </w:rPr>
        <w:t xml:space="preserve"> </w:t>
      </w:r>
      <w:r w:rsidR="00404DDC">
        <w:rPr>
          <w:i/>
          <w:iCs/>
          <w:noProof/>
          <w:lang w:val="en-US"/>
        </w:rPr>
        <w:t>International Journal of Environmental Research and Public Health,</w:t>
      </w:r>
      <w:r w:rsidR="00F16004">
        <w:rPr>
          <w:noProof/>
          <w:lang w:val="en-US"/>
        </w:rPr>
        <w:t xml:space="preserve"> vol. 19, </w:t>
      </w:r>
      <w:r w:rsidR="00DE097B">
        <w:rPr>
          <w:noProof/>
          <w:lang w:val="en-US"/>
        </w:rPr>
        <w:t xml:space="preserve">6041. </w:t>
      </w:r>
      <w:hyperlink r:id="rId25" w:history="1">
        <w:r w:rsidR="00F703A3" w:rsidRPr="00E9748E">
          <w:rPr>
            <w:rStyle w:val="Hipervnculo"/>
            <w:noProof/>
            <w:lang w:val="en-US"/>
          </w:rPr>
          <w:t>https://doi.org/10.3390/ijerph19106041</w:t>
        </w:r>
      </w:hyperlink>
    </w:p>
    <w:p w14:paraId="3190C6D6" w14:textId="552BBCD5" w:rsidR="00102162" w:rsidRDefault="00102162" w:rsidP="007541F3">
      <w:pPr>
        <w:rPr>
          <w:noProof/>
          <w:lang w:val="en-US"/>
        </w:rPr>
      </w:pPr>
    </w:p>
    <w:p w14:paraId="09F81A10" w14:textId="05685446" w:rsidR="007652F2" w:rsidRDefault="009D10B1" w:rsidP="007541F3">
      <w:pPr>
        <w:rPr>
          <w:noProof/>
          <w:lang w:val="en-US"/>
        </w:rPr>
      </w:pPr>
      <w:r w:rsidRPr="001A5A48">
        <w:rPr>
          <w:noProof/>
          <w:lang w:val="en-US"/>
        </w:rPr>
        <w:t>[</w:t>
      </w:r>
      <w:r w:rsidR="00AC78A2">
        <w:rPr>
          <w:noProof/>
          <w:lang w:val="en-US"/>
        </w:rPr>
        <w:t>11</w:t>
      </w:r>
      <w:r w:rsidRPr="001A5A48">
        <w:rPr>
          <w:noProof/>
          <w:lang w:val="en-US"/>
        </w:rPr>
        <w:t>] X.</w:t>
      </w:r>
      <w:r w:rsidR="001A5A48" w:rsidRPr="001A5A48">
        <w:rPr>
          <w:noProof/>
          <w:lang w:val="en-US"/>
        </w:rPr>
        <w:t>Z.</w:t>
      </w:r>
      <w:r w:rsidRPr="001A5A48">
        <w:rPr>
          <w:noProof/>
          <w:lang w:val="en-US"/>
        </w:rPr>
        <w:t xml:space="preserve"> Yao, R.C. Ma</w:t>
      </w:r>
      <w:r w:rsidR="001A5A48" w:rsidRPr="001A5A48">
        <w:rPr>
          <w:noProof/>
          <w:lang w:val="en-US"/>
        </w:rPr>
        <w:t>, H</w:t>
      </w:r>
      <w:r w:rsidR="001A5A48">
        <w:rPr>
          <w:noProof/>
          <w:lang w:val="en-US"/>
        </w:rPr>
        <w:t>.</w:t>
      </w:r>
      <w:r w:rsidR="001A5A48" w:rsidRPr="001A5A48">
        <w:rPr>
          <w:noProof/>
          <w:lang w:val="en-US"/>
        </w:rPr>
        <w:t>J</w:t>
      </w:r>
      <w:r w:rsidR="001A5A48">
        <w:rPr>
          <w:noProof/>
          <w:lang w:val="en-US"/>
        </w:rPr>
        <w:t>.</w:t>
      </w:r>
      <w:r w:rsidR="001A5A48" w:rsidRPr="001A5A48">
        <w:rPr>
          <w:noProof/>
          <w:lang w:val="en-US"/>
        </w:rPr>
        <w:t xml:space="preserve"> Li, C</w:t>
      </w:r>
      <w:r w:rsidR="00A432A4">
        <w:rPr>
          <w:noProof/>
          <w:lang w:val="en-US"/>
        </w:rPr>
        <w:t>.</w:t>
      </w:r>
      <w:r w:rsidR="001A5A48" w:rsidRPr="001A5A48">
        <w:rPr>
          <w:noProof/>
          <w:lang w:val="en-US"/>
        </w:rPr>
        <w:t xml:space="preserve"> Wang, C</w:t>
      </w:r>
      <w:r w:rsidR="00A432A4">
        <w:rPr>
          <w:noProof/>
          <w:lang w:val="en-US"/>
        </w:rPr>
        <w:t>.</w:t>
      </w:r>
      <w:r w:rsidR="001A5A48" w:rsidRPr="001A5A48">
        <w:rPr>
          <w:noProof/>
          <w:lang w:val="en-US"/>
        </w:rPr>
        <w:t xml:space="preserve"> Zhang, S</w:t>
      </w:r>
      <w:r w:rsidR="00A432A4">
        <w:rPr>
          <w:noProof/>
          <w:lang w:val="en-US"/>
        </w:rPr>
        <w:t>.</w:t>
      </w:r>
      <w:r w:rsidR="001A5A48" w:rsidRPr="001A5A48">
        <w:rPr>
          <w:noProof/>
          <w:lang w:val="en-US"/>
        </w:rPr>
        <w:t>S</w:t>
      </w:r>
      <w:r w:rsidR="00A432A4">
        <w:rPr>
          <w:noProof/>
          <w:lang w:val="en-US"/>
        </w:rPr>
        <w:t>.</w:t>
      </w:r>
      <w:r w:rsidR="001A5A48" w:rsidRPr="001A5A48">
        <w:rPr>
          <w:noProof/>
          <w:lang w:val="en-US"/>
        </w:rPr>
        <w:t xml:space="preserve"> Yin, D</w:t>
      </w:r>
      <w:r w:rsidR="00A432A4">
        <w:rPr>
          <w:noProof/>
          <w:lang w:val="en-US"/>
        </w:rPr>
        <w:t>.</w:t>
      </w:r>
      <w:r w:rsidR="001A5A48" w:rsidRPr="001A5A48">
        <w:rPr>
          <w:noProof/>
          <w:lang w:val="en-US"/>
        </w:rPr>
        <w:t xml:space="preserve"> Wu, X</w:t>
      </w:r>
      <w:r w:rsidR="00C32583">
        <w:rPr>
          <w:noProof/>
          <w:lang w:val="en-US"/>
        </w:rPr>
        <w:t>.</w:t>
      </w:r>
      <w:r w:rsidR="001A5A48" w:rsidRPr="001A5A48">
        <w:rPr>
          <w:noProof/>
          <w:lang w:val="en-US"/>
        </w:rPr>
        <w:t>Y</w:t>
      </w:r>
      <w:r w:rsidR="00C32583">
        <w:rPr>
          <w:noProof/>
          <w:lang w:val="en-US"/>
        </w:rPr>
        <w:t>.</w:t>
      </w:r>
      <w:r w:rsidR="001A5A48" w:rsidRPr="001A5A48">
        <w:rPr>
          <w:noProof/>
          <w:lang w:val="en-US"/>
        </w:rPr>
        <w:t xml:space="preserve"> He, J</w:t>
      </w:r>
      <w:r w:rsidR="00C32583">
        <w:rPr>
          <w:noProof/>
          <w:lang w:val="en-US"/>
        </w:rPr>
        <w:t>.</w:t>
      </w:r>
      <w:r w:rsidR="001A5A48" w:rsidRPr="001A5A48">
        <w:rPr>
          <w:noProof/>
          <w:lang w:val="en-US"/>
        </w:rPr>
        <w:t xml:space="preserve"> Wang, L</w:t>
      </w:r>
      <w:r w:rsidR="00C32583">
        <w:rPr>
          <w:noProof/>
          <w:lang w:val="en-US"/>
        </w:rPr>
        <w:t>.</w:t>
      </w:r>
      <w:r w:rsidR="001A5A48" w:rsidRPr="001A5A48">
        <w:rPr>
          <w:noProof/>
          <w:lang w:val="en-US"/>
        </w:rPr>
        <w:t>T</w:t>
      </w:r>
      <w:r w:rsidR="00C32583">
        <w:rPr>
          <w:noProof/>
          <w:lang w:val="en-US"/>
        </w:rPr>
        <w:t>.</w:t>
      </w:r>
      <w:r w:rsidR="001A5A48" w:rsidRPr="001A5A48">
        <w:rPr>
          <w:noProof/>
          <w:lang w:val="en-US"/>
        </w:rPr>
        <w:t xml:space="preserve"> Zhan, R</w:t>
      </w:r>
      <w:r w:rsidR="005D0A9B">
        <w:rPr>
          <w:noProof/>
          <w:lang w:val="en-US"/>
        </w:rPr>
        <w:t>.</w:t>
      </w:r>
      <w:r w:rsidR="001A5A48" w:rsidRPr="001A5A48">
        <w:rPr>
          <w:noProof/>
          <w:lang w:val="en-US"/>
        </w:rPr>
        <w:t xml:space="preserve"> He</w:t>
      </w:r>
      <w:r w:rsidR="005D0A9B">
        <w:rPr>
          <w:noProof/>
          <w:lang w:val="en-US"/>
        </w:rPr>
        <w:t>. “</w:t>
      </w:r>
      <w:r w:rsidR="005D0A9B" w:rsidRPr="005D0A9B">
        <w:rPr>
          <w:noProof/>
          <w:lang w:val="en-US"/>
        </w:rPr>
        <w:t>Assessment of the major odor contributors and health risks of volatile compounds in three disposal technologies for municipal solid waste</w:t>
      </w:r>
      <w:r w:rsidR="005D0A9B">
        <w:rPr>
          <w:noProof/>
          <w:lang w:val="en-US"/>
        </w:rPr>
        <w:t xml:space="preserve">”. </w:t>
      </w:r>
      <w:r w:rsidR="009C5ABA" w:rsidRPr="009C5ABA">
        <w:rPr>
          <w:i/>
          <w:iCs/>
          <w:noProof/>
          <w:lang w:val="en-US"/>
        </w:rPr>
        <w:t>Waste Management,</w:t>
      </w:r>
      <w:r w:rsidR="009C5ABA">
        <w:rPr>
          <w:noProof/>
          <w:lang w:val="en-US"/>
        </w:rPr>
        <w:t xml:space="preserve"> vol. 91, pp. 128-138, 2019. </w:t>
      </w:r>
      <w:r w:rsidR="00F64886" w:rsidRPr="00F64886">
        <w:rPr>
          <w:noProof/>
          <w:lang w:val="en-US"/>
        </w:rPr>
        <w:t>doi.org/10.1016/j.wasman.2019.05.009.</w:t>
      </w:r>
    </w:p>
    <w:p w14:paraId="2631D716" w14:textId="6115360A" w:rsidR="00F64886" w:rsidRDefault="00F64886" w:rsidP="007541F3">
      <w:pPr>
        <w:rPr>
          <w:noProof/>
          <w:lang w:val="en-US"/>
        </w:rPr>
      </w:pPr>
    </w:p>
    <w:p w14:paraId="05C70FAD" w14:textId="7343941B" w:rsidR="00F64886" w:rsidRPr="00E94B6F" w:rsidRDefault="00F64886" w:rsidP="000E1AD8">
      <w:pPr>
        <w:jc w:val="left"/>
        <w:rPr>
          <w:i/>
          <w:iCs/>
          <w:noProof/>
          <w:lang w:val="en-US"/>
        </w:rPr>
      </w:pPr>
      <w:r>
        <w:rPr>
          <w:noProof/>
          <w:lang w:val="en-US"/>
        </w:rPr>
        <w:t>[</w:t>
      </w:r>
      <w:r w:rsidR="00AC78A2">
        <w:rPr>
          <w:noProof/>
          <w:lang w:val="en-US"/>
        </w:rPr>
        <w:t>12</w:t>
      </w:r>
      <w:r>
        <w:rPr>
          <w:noProof/>
          <w:lang w:val="en-US"/>
        </w:rPr>
        <w:t xml:space="preserve">] </w:t>
      </w:r>
      <w:r w:rsidR="002F0A63" w:rsidRPr="002F0A63">
        <w:rPr>
          <w:noProof/>
          <w:lang w:val="en-US"/>
        </w:rPr>
        <w:t>Z</w:t>
      </w:r>
      <w:r w:rsidR="002F0A63">
        <w:rPr>
          <w:noProof/>
          <w:lang w:val="en-US"/>
        </w:rPr>
        <w:t>.</w:t>
      </w:r>
      <w:r w:rsidR="002F0A63" w:rsidRPr="002F0A63">
        <w:rPr>
          <w:noProof/>
          <w:lang w:val="en-US"/>
        </w:rPr>
        <w:t xml:space="preserve"> Cheng, Z</w:t>
      </w:r>
      <w:r w:rsidR="002F0A63">
        <w:rPr>
          <w:noProof/>
          <w:lang w:val="en-US"/>
        </w:rPr>
        <w:t>.</w:t>
      </w:r>
      <w:r w:rsidR="002F0A63" w:rsidRPr="002F0A63">
        <w:rPr>
          <w:noProof/>
          <w:lang w:val="en-US"/>
        </w:rPr>
        <w:t xml:space="preserve"> Sun, S</w:t>
      </w:r>
      <w:r w:rsidR="002F0A63">
        <w:rPr>
          <w:noProof/>
          <w:lang w:val="en-US"/>
        </w:rPr>
        <w:t>.</w:t>
      </w:r>
      <w:r w:rsidR="002F0A63" w:rsidRPr="002F0A63">
        <w:rPr>
          <w:noProof/>
          <w:lang w:val="en-US"/>
        </w:rPr>
        <w:t xml:space="preserve"> Zhu, Z</w:t>
      </w:r>
      <w:r w:rsidR="002F0A63">
        <w:rPr>
          <w:noProof/>
          <w:lang w:val="en-US"/>
        </w:rPr>
        <w:t>.</w:t>
      </w:r>
      <w:r w:rsidR="002F0A63" w:rsidRPr="002F0A63">
        <w:rPr>
          <w:noProof/>
          <w:lang w:val="en-US"/>
        </w:rPr>
        <w:t xml:space="preserve"> Lou, N</w:t>
      </w:r>
      <w:r w:rsidR="002F0A63">
        <w:rPr>
          <w:noProof/>
          <w:lang w:val="en-US"/>
        </w:rPr>
        <w:t>.</w:t>
      </w:r>
      <w:r w:rsidR="002F0A63" w:rsidRPr="002F0A63">
        <w:rPr>
          <w:noProof/>
          <w:lang w:val="en-US"/>
        </w:rPr>
        <w:t xml:space="preserve"> Zhu, L</w:t>
      </w:r>
      <w:r w:rsidR="00887A98">
        <w:rPr>
          <w:noProof/>
          <w:lang w:val="en-US"/>
        </w:rPr>
        <w:t>.</w:t>
      </w:r>
      <w:r w:rsidR="002F0A63" w:rsidRPr="002F0A63">
        <w:rPr>
          <w:noProof/>
          <w:lang w:val="en-US"/>
        </w:rPr>
        <w:t xml:space="preserve"> Feng</w:t>
      </w:r>
      <w:r w:rsidR="00887A98">
        <w:rPr>
          <w:noProof/>
          <w:lang w:val="en-US"/>
        </w:rPr>
        <w:t>. “</w:t>
      </w:r>
      <w:r w:rsidR="002F0A63" w:rsidRPr="002F0A63">
        <w:rPr>
          <w:noProof/>
          <w:lang w:val="en-US"/>
        </w:rPr>
        <w:t>The identification and health risk assessment of odor emissions from waste landfilling and composting</w:t>
      </w:r>
      <w:r w:rsidR="00887A98">
        <w:rPr>
          <w:noProof/>
          <w:lang w:val="en-US"/>
        </w:rPr>
        <w:t xml:space="preserve">”. </w:t>
      </w:r>
      <w:r w:rsidR="002F0A63" w:rsidRPr="00E94B6F">
        <w:rPr>
          <w:i/>
          <w:iCs/>
          <w:noProof/>
          <w:lang w:val="en-US"/>
        </w:rPr>
        <w:t>Science of The Total Environment,</w:t>
      </w:r>
      <w:r w:rsidR="00E94B6F">
        <w:rPr>
          <w:i/>
          <w:iCs/>
          <w:noProof/>
          <w:lang w:val="en-US"/>
        </w:rPr>
        <w:t xml:space="preserve"> </w:t>
      </w:r>
      <w:r w:rsidR="00E94B6F">
        <w:rPr>
          <w:noProof/>
          <w:lang w:val="en-US"/>
        </w:rPr>
        <w:t>v</w:t>
      </w:r>
      <w:r w:rsidR="002F0A63" w:rsidRPr="002F0A63">
        <w:rPr>
          <w:noProof/>
          <w:lang w:val="en-US"/>
        </w:rPr>
        <w:t>ol</w:t>
      </w:r>
      <w:r w:rsidR="00E94B6F">
        <w:rPr>
          <w:noProof/>
          <w:lang w:val="en-US"/>
        </w:rPr>
        <w:t>.</w:t>
      </w:r>
      <w:r w:rsidR="002F0A63" w:rsidRPr="002F0A63">
        <w:rPr>
          <w:noProof/>
          <w:lang w:val="en-US"/>
        </w:rPr>
        <w:t xml:space="preserve"> 649,</w:t>
      </w:r>
      <w:r w:rsidR="00E94B6F">
        <w:rPr>
          <w:noProof/>
          <w:lang w:val="en-US"/>
        </w:rPr>
        <w:t xml:space="preserve"> pp. 1038-1044</w:t>
      </w:r>
      <w:r w:rsidR="000E1AD8">
        <w:rPr>
          <w:noProof/>
          <w:lang w:val="en-US"/>
        </w:rPr>
        <w:t xml:space="preserve">, 2019. </w:t>
      </w:r>
      <w:r w:rsidR="000E1AD8" w:rsidRPr="000E1AD8">
        <w:rPr>
          <w:noProof/>
          <w:lang w:val="en-US"/>
        </w:rPr>
        <w:t>doi.org/10.1016/j.scitotenv.2018.08.230</w:t>
      </w:r>
    </w:p>
    <w:p w14:paraId="138D38F2" w14:textId="0DD0002F" w:rsidR="007652F2" w:rsidRDefault="007652F2" w:rsidP="007541F3">
      <w:pPr>
        <w:rPr>
          <w:noProof/>
          <w:lang w:val="en-US"/>
        </w:rPr>
      </w:pPr>
    </w:p>
    <w:p w14:paraId="7FA3D579" w14:textId="5B0B1152" w:rsidR="00573550" w:rsidRPr="00110065" w:rsidRDefault="00573550" w:rsidP="007541F3">
      <w:pPr>
        <w:rPr>
          <w:noProof/>
          <w:lang w:val="es-CL"/>
        </w:rPr>
      </w:pPr>
      <w:r w:rsidRPr="00BA7E31">
        <w:rPr>
          <w:noProof/>
          <w:lang w:val="en-US"/>
        </w:rPr>
        <w:t>[</w:t>
      </w:r>
      <w:r w:rsidR="00AC78A2">
        <w:rPr>
          <w:noProof/>
          <w:lang w:val="en-US"/>
        </w:rPr>
        <w:t>13</w:t>
      </w:r>
      <w:r w:rsidRPr="00BA7E31">
        <w:rPr>
          <w:noProof/>
          <w:lang w:val="en-US"/>
        </w:rPr>
        <w:t xml:space="preserve">] </w:t>
      </w:r>
      <w:r w:rsidR="0099351B" w:rsidRPr="00BA7E31">
        <w:rPr>
          <w:noProof/>
          <w:lang w:val="en-US"/>
        </w:rPr>
        <w:t>K.M. Morita, C. Ibelli-Bianco, A.A. Anache, V. Coutinho, S. Pelinson, J</w:t>
      </w:r>
      <w:r w:rsidR="00BA7E31" w:rsidRPr="00BA7E31">
        <w:rPr>
          <w:noProof/>
          <w:lang w:val="en-US"/>
        </w:rPr>
        <w:t>.</w:t>
      </w:r>
      <w:r w:rsidR="0099351B" w:rsidRPr="00BA7E31">
        <w:rPr>
          <w:noProof/>
          <w:lang w:val="en-US"/>
        </w:rPr>
        <w:t xml:space="preserve"> Nobrega, M.P. Rosalem, M.C. Leite, M. Niviadonski, C</w:t>
      </w:r>
      <w:r w:rsidR="0057344F">
        <w:rPr>
          <w:noProof/>
          <w:lang w:val="en-US"/>
        </w:rPr>
        <w:t>.</w:t>
      </w:r>
      <w:r w:rsidR="0099351B" w:rsidRPr="00BA7E31">
        <w:rPr>
          <w:noProof/>
          <w:lang w:val="en-US"/>
        </w:rPr>
        <w:t xml:space="preserve"> Manastella, E</w:t>
      </w:r>
      <w:r w:rsidR="0057344F">
        <w:rPr>
          <w:noProof/>
          <w:lang w:val="en-US"/>
        </w:rPr>
        <w:t>.</w:t>
      </w:r>
      <w:r w:rsidR="0099351B" w:rsidRPr="00BA7E31">
        <w:rPr>
          <w:noProof/>
          <w:lang w:val="en-US"/>
        </w:rPr>
        <w:t xml:space="preserve"> Wendland</w:t>
      </w:r>
      <w:r w:rsidR="0057344F">
        <w:rPr>
          <w:noProof/>
          <w:lang w:val="en-US"/>
        </w:rPr>
        <w:t>. “</w:t>
      </w:r>
      <w:r w:rsidR="0057344F" w:rsidRPr="0057344F">
        <w:rPr>
          <w:noProof/>
          <w:lang w:val="en-US"/>
        </w:rPr>
        <w:t>Pollution threat to water and soil quality by dumpsites and non-sanitary landfills in Brazil: A review</w:t>
      </w:r>
      <w:r w:rsidR="0057344F">
        <w:rPr>
          <w:noProof/>
          <w:lang w:val="en-US"/>
        </w:rPr>
        <w:t>”</w:t>
      </w:r>
      <w:r w:rsidR="00D93E1F">
        <w:rPr>
          <w:noProof/>
          <w:lang w:val="en-US"/>
        </w:rPr>
        <w:t xml:space="preserve">. </w:t>
      </w:r>
      <w:r w:rsidR="00D93E1F" w:rsidRPr="00110065">
        <w:rPr>
          <w:i/>
          <w:iCs/>
          <w:noProof/>
          <w:lang w:val="es-CL"/>
        </w:rPr>
        <w:t>Waste Management,</w:t>
      </w:r>
      <w:r w:rsidR="00D93E1F" w:rsidRPr="00110065">
        <w:rPr>
          <w:noProof/>
          <w:lang w:val="es-CL"/>
        </w:rPr>
        <w:t xml:space="preserve"> vol. 131, pp. 163-176</w:t>
      </w:r>
      <w:r w:rsidR="00200942" w:rsidRPr="00110065">
        <w:rPr>
          <w:noProof/>
          <w:lang w:val="es-CL"/>
        </w:rPr>
        <w:t>, 2021. doi.org/10.1016/j.wasman.2021.06.004.</w:t>
      </w:r>
    </w:p>
    <w:p w14:paraId="2D70D520" w14:textId="77777777" w:rsidR="00573550" w:rsidRPr="00110065" w:rsidRDefault="00573550" w:rsidP="007541F3">
      <w:pPr>
        <w:rPr>
          <w:noProof/>
          <w:lang w:val="es-CL"/>
        </w:rPr>
      </w:pPr>
    </w:p>
    <w:p w14:paraId="28394874" w14:textId="2E5F6F88" w:rsidR="00102162" w:rsidRDefault="00CD63E2" w:rsidP="007541F3">
      <w:pPr>
        <w:rPr>
          <w:noProof/>
          <w:lang w:val="es-CL"/>
        </w:rPr>
      </w:pPr>
      <w:r w:rsidRPr="00146274">
        <w:rPr>
          <w:noProof/>
          <w:lang w:val="es-CL"/>
        </w:rPr>
        <w:t>[</w:t>
      </w:r>
      <w:r w:rsidR="00AC78A2">
        <w:rPr>
          <w:noProof/>
          <w:lang w:val="es-CL"/>
        </w:rPr>
        <w:t>14</w:t>
      </w:r>
      <w:r w:rsidRPr="00146274">
        <w:rPr>
          <w:noProof/>
          <w:lang w:val="es-CL"/>
        </w:rPr>
        <w:t xml:space="preserve">] </w:t>
      </w:r>
      <w:r w:rsidR="00870F8B">
        <w:rPr>
          <w:noProof/>
          <w:lang w:val="es-CL"/>
        </w:rPr>
        <w:t xml:space="preserve">Subsecretaría </w:t>
      </w:r>
      <w:r w:rsidR="00F251A7">
        <w:rPr>
          <w:noProof/>
          <w:lang w:val="es-CL"/>
        </w:rPr>
        <w:t>de Desarrollo Regional y Administrativo</w:t>
      </w:r>
      <w:r w:rsidR="003C7D89">
        <w:rPr>
          <w:noProof/>
          <w:lang w:val="es-CL"/>
        </w:rPr>
        <w:t xml:space="preserve"> (2018). </w:t>
      </w:r>
      <w:r w:rsidR="005A4BA2">
        <w:rPr>
          <w:noProof/>
          <w:lang w:val="es-CL"/>
        </w:rPr>
        <w:t xml:space="preserve">Capítulo </w:t>
      </w:r>
      <w:r w:rsidR="00400856">
        <w:rPr>
          <w:noProof/>
          <w:lang w:val="es-CL"/>
        </w:rPr>
        <w:t>2</w:t>
      </w:r>
      <w:r w:rsidR="005A4BA2">
        <w:rPr>
          <w:noProof/>
          <w:lang w:val="es-CL"/>
        </w:rPr>
        <w:t xml:space="preserve">: </w:t>
      </w:r>
      <w:r w:rsidR="00400856">
        <w:rPr>
          <w:noProof/>
          <w:lang w:val="es-CL"/>
        </w:rPr>
        <w:t>Marco normativo e institucional aplicado al sector de resíduos sólidos en Chile</w:t>
      </w:r>
      <w:r w:rsidR="00970CE6">
        <w:rPr>
          <w:noProof/>
          <w:lang w:val="es-CL"/>
        </w:rPr>
        <w:t xml:space="preserve"> [en línea]. Disponible en: </w:t>
      </w:r>
      <w:r w:rsidR="004B3DD3" w:rsidRPr="004B3DD3">
        <w:rPr>
          <w:noProof/>
          <w:lang w:val="es-CL"/>
        </w:rPr>
        <w:t>https://www.subdere.gov.cl/content/l%C3%ADnea-base-diagn%C3%B3stico-y-catastro-de-rsd-a%C3%B1o-2017</w:t>
      </w:r>
    </w:p>
    <w:p w14:paraId="2B1ED288" w14:textId="4F9B708D" w:rsidR="00895653" w:rsidRDefault="00895653" w:rsidP="007541F3">
      <w:pPr>
        <w:rPr>
          <w:noProof/>
          <w:lang w:val="es-CL"/>
        </w:rPr>
      </w:pPr>
    </w:p>
    <w:p w14:paraId="19399DF4" w14:textId="27D463A9" w:rsidR="00AF4BB6" w:rsidRDefault="00AF4BB6" w:rsidP="007541F3">
      <w:pPr>
        <w:rPr>
          <w:noProof/>
          <w:lang w:val="es-CL"/>
        </w:rPr>
      </w:pPr>
      <w:r>
        <w:rPr>
          <w:noProof/>
          <w:lang w:val="es-CL"/>
        </w:rPr>
        <w:t>[</w:t>
      </w:r>
      <w:r w:rsidR="00AC78A2">
        <w:rPr>
          <w:noProof/>
          <w:lang w:val="es-CL"/>
        </w:rPr>
        <w:t>15</w:t>
      </w:r>
      <w:r>
        <w:rPr>
          <w:noProof/>
          <w:lang w:val="es-CL"/>
        </w:rPr>
        <w:t>] Instituto Nacional de Estadísticas</w:t>
      </w:r>
      <w:r w:rsidR="00B525CA">
        <w:rPr>
          <w:noProof/>
          <w:lang w:val="es-CL"/>
        </w:rPr>
        <w:t xml:space="preserve"> (2017</w:t>
      </w:r>
      <w:r w:rsidR="00B525CA" w:rsidRPr="00B525CA">
        <w:rPr>
          <w:i/>
          <w:iCs/>
          <w:noProof/>
          <w:lang w:val="es-CL"/>
        </w:rPr>
        <w:t>)</w:t>
      </w:r>
      <w:r w:rsidR="00DB032F" w:rsidRPr="00B525CA">
        <w:rPr>
          <w:i/>
          <w:iCs/>
          <w:noProof/>
          <w:lang w:val="es-CL"/>
        </w:rPr>
        <w:t>.</w:t>
      </w:r>
      <w:r w:rsidR="009566C2" w:rsidRPr="00B525CA">
        <w:rPr>
          <w:i/>
          <w:iCs/>
          <w:noProof/>
          <w:lang w:val="es-CL"/>
        </w:rPr>
        <w:t xml:space="preserve"> </w:t>
      </w:r>
      <w:r w:rsidR="007F2E6B" w:rsidRPr="00B525CA">
        <w:rPr>
          <w:i/>
          <w:iCs/>
          <w:noProof/>
          <w:lang w:val="es-CL"/>
        </w:rPr>
        <w:t>Censo de población y vivienda</w:t>
      </w:r>
      <w:r w:rsidR="007F2E6B">
        <w:rPr>
          <w:noProof/>
          <w:lang w:val="es-CL"/>
        </w:rPr>
        <w:t xml:space="preserve">. </w:t>
      </w:r>
      <w:r w:rsidR="00CB76CF">
        <w:rPr>
          <w:noProof/>
          <w:lang w:val="es-CL"/>
        </w:rPr>
        <w:t xml:space="preserve">Chile [en línea]. Disponible en </w:t>
      </w:r>
      <w:hyperlink r:id="rId26" w:history="1">
        <w:r w:rsidR="002E4A53" w:rsidRPr="001C03FC">
          <w:rPr>
            <w:rStyle w:val="Hipervnculo"/>
            <w:noProof/>
            <w:lang w:val="es-CL"/>
          </w:rPr>
          <w:t>https://www.ine.cl/estadisticas/sociales/censos-de-poblacion-y-vivienda/censo-de-poblacion-y-vivienda</w:t>
        </w:r>
      </w:hyperlink>
    </w:p>
    <w:p w14:paraId="73B969CC" w14:textId="77777777" w:rsidR="002E4A53" w:rsidRDefault="002E4A53" w:rsidP="007541F3">
      <w:pPr>
        <w:rPr>
          <w:noProof/>
          <w:lang w:val="es-CL"/>
        </w:rPr>
      </w:pPr>
    </w:p>
    <w:p w14:paraId="2A50AB4D" w14:textId="00CD1885" w:rsidR="00895653" w:rsidRPr="00146274" w:rsidRDefault="009B3AB4" w:rsidP="007541F3">
      <w:pPr>
        <w:rPr>
          <w:noProof/>
          <w:lang w:val="es-CL"/>
        </w:rPr>
      </w:pPr>
      <w:r>
        <w:rPr>
          <w:noProof/>
          <w:lang w:val="es-CL"/>
        </w:rPr>
        <w:t>[</w:t>
      </w:r>
      <w:r w:rsidR="009D72FF">
        <w:rPr>
          <w:noProof/>
          <w:lang w:val="es-CL"/>
        </w:rPr>
        <w:t>16</w:t>
      </w:r>
      <w:r>
        <w:rPr>
          <w:noProof/>
          <w:lang w:val="es-CL"/>
        </w:rPr>
        <w:t>]</w:t>
      </w:r>
      <w:r w:rsidR="007B6C9D">
        <w:rPr>
          <w:noProof/>
          <w:lang w:val="es-CL"/>
        </w:rPr>
        <w:t xml:space="preserve"> </w:t>
      </w:r>
      <w:r w:rsidR="005014EC">
        <w:rPr>
          <w:noProof/>
          <w:lang w:val="es-CL"/>
        </w:rPr>
        <w:t xml:space="preserve">Subsecretaría de Desarrollo Regional y Administrativo (2018). Capítulo 4: Diagnóstico de la situación por comuna y por región en materia de RSD y asimilables [en línea]. Disponible en: </w:t>
      </w:r>
      <w:r w:rsidR="005014EC" w:rsidRPr="004B3DD3">
        <w:rPr>
          <w:noProof/>
          <w:lang w:val="es-CL"/>
        </w:rPr>
        <w:t>https://www.subdere.gov.cl/content/l%C3%ADnea-base-diagn%C3%B3stico-y-catastro-de-rsd-a%C3%B1o-2017</w:t>
      </w:r>
    </w:p>
    <w:p w14:paraId="088A4BF0" w14:textId="56F33584" w:rsidR="00102162" w:rsidRDefault="00102162" w:rsidP="007541F3">
      <w:pPr>
        <w:rPr>
          <w:noProof/>
          <w:lang w:val="es-CL"/>
        </w:rPr>
      </w:pPr>
    </w:p>
    <w:p w14:paraId="4B58E3B1" w14:textId="7535AABA" w:rsidR="00893FC8" w:rsidRPr="005F50C6" w:rsidRDefault="00893FC8" w:rsidP="007541F3">
      <w:pPr>
        <w:rPr>
          <w:noProof/>
          <w:lang w:val="en-US"/>
        </w:rPr>
      </w:pPr>
      <w:r w:rsidRPr="00893FC8">
        <w:rPr>
          <w:noProof/>
          <w:lang w:val="en-US"/>
        </w:rPr>
        <w:t>[</w:t>
      </w:r>
      <w:r>
        <w:rPr>
          <w:noProof/>
          <w:lang w:val="en-US"/>
        </w:rPr>
        <w:t>17</w:t>
      </w:r>
      <w:r w:rsidRPr="00893FC8">
        <w:rPr>
          <w:noProof/>
          <w:lang w:val="en-US"/>
        </w:rPr>
        <w:t xml:space="preserve">] B. Dastjerdi, V. Strezov, R. Kumar, M. Behnia. </w:t>
      </w:r>
      <w:r w:rsidRPr="005F238E">
        <w:rPr>
          <w:noProof/>
          <w:lang w:val="en-US"/>
        </w:rPr>
        <w:t>“An evaluation of the potential of waste to energy technologies for residual solid waste in New South Wales, Australia”</w:t>
      </w:r>
      <w:r>
        <w:rPr>
          <w:i/>
          <w:iCs/>
          <w:noProof/>
          <w:lang w:val="en-US"/>
        </w:rPr>
        <w:t>. Renewable and Sustainable Energy Reviews</w:t>
      </w:r>
      <w:r>
        <w:rPr>
          <w:noProof/>
          <w:lang w:val="en-US"/>
        </w:rPr>
        <w:t xml:space="preserve">, vol. 115, 2019. Disponible en: </w:t>
      </w:r>
      <w:r w:rsidRPr="00AC3EBC">
        <w:rPr>
          <w:noProof/>
          <w:lang w:val="en-US"/>
        </w:rPr>
        <w:t>https://www.sciencedirect.com/science/article/pii/S1364032119306069</w:t>
      </w:r>
      <w:r w:rsidRPr="00BF2855">
        <w:rPr>
          <w:noProof/>
          <w:lang w:val="en-US"/>
        </w:rPr>
        <w:t>.</w:t>
      </w:r>
    </w:p>
    <w:p w14:paraId="75D073F2" w14:textId="29809DE3" w:rsidR="00893FC8" w:rsidRPr="005F50C6" w:rsidRDefault="00893FC8" w:rsidP="007541F3">
      <w:pPr>
        <w:rPr>
          <w:noProof/>
          <w:lang w:val="en-US"/>
        </w:rPr>
      </w:pPr>
    </w:p>
    <w:p w14:paraId="2CA24655" w14:textId="6672F1F8" w:rsidR="00893FC8" w:rsidRPr="00D91148" w:rsidRDefault="00893FC8" w:rsidP="00893FC8">
      <w:pPr>
        <w:rPr>
          <w:noProof/>
          <w:lang w:val="en-US"/>
        </w:rPr>
      </w:pPr>
      <w:r w:rsidRPr="005F50C6">
        <w:rPr>
          <w:noProof/>
          <w:lang w:val="en-US"/>
        </w:rPr>
        <w:t xml:space="preserve">[18] A. Ogunjuyigbe, T. Ayodele, M. Alao. </w:t>
      </w:r>
      <w:r w:rsidRPr="001E2007">
        <w:rPr>
          <w:noProof/>
          <w:lang w:val="en-US"/>
        </w:rPr>
        <w:t>“Electricity generation from municipal solid waste in some selected cities</w:t>
      </w:r>
      <w:r>
        <w:rPr>
          <w:noProof/>
          <w:lang w:val="en-US"/>
        </w:rPr>
        <w:t xml:space="preserve"> </w:t>
      </w:r>
      <w:r w:rsidRPr="001E2007">
        <w:rPr>
          <w:noProof/>
          <w:lang w:val="en-US"/>
        </w:rPr>
        <w:t>of Nigeria: An assessment of feasibility, potential and technologies</w:t>
      </w:r>
      <w:r>
        <w:rPr>
          <w:noProof/>
          <w:lang w:val="en-US"/>
        </w:rPr>
        <w:t xml:space="preserve">”. </w:t>
      </w:r>
      <w:r w:rsidRPr="001E2007">
        <w:rPr>
          <w:i/>
          <w:iCs/>
          <w:noProof/>
          <w:lang w:val="en-US"/>
        </w:rPr>
        <w:t>Renewable and Sustainable Energy Reviews</w:t>
      </w:r>
      <w:r>
        <w:rPr>
          <w:noProof/>
          <w:lang w:val="en-US"/>
        </w:rPr>
        <w:t xml:space="preserve">, vol. 80, pp. 149-162, 2017. </w:t>
      </w:r>
      <w:r w:rsidRPr="00D91148">
        <w:rPr>
          <w:noProof/>
          <w:lang w:val="en-US"/>
        </w:rPr>
        <w:t>Disponible en: https://www.sciencedirect.com/science/article/pii/S1364032117308134.</w:t>
      </w:r>
    </w:p>
    <w:p w14:paraId="4635C895" w14:textId="185CE209" w:rsidR="00893FC8" w:rsidRPr="001D6032" w:rsidRDefault="00893FC8" w:rsidP="007541F3">
      <w:pPr>
        <w:rPr>
          <w:noProof/>
          <w:lang w:val="en-US"/>
        </w:rPr>
      </w:pPr>
    </w:p>
    <w:p w14:paraId="44AA2FD1" w14:textId="38B776DA" w:rsidR="001D6032" w:rsidRPr="003971CF" w:rsidRDefault="001D6032" w:rsidP="001D6032">
      <w:pPr>
        <w:rPr>
          <w:noProof/>
          <w:lang w:val="en-US"/>
        </w:rPr>
      </w:pPr>
      <w:r w:rsidRPr="005F50C6">
        <w:rPr>
          <w:noProof/>
          <w:lang w:val="en-US"/>
        </w:rPr>
        <w:t xml:space="preserve">[19] L. Lombardi, E. Carnevale, A. Corti. </w:t>
      </w:r>
      <w:r w:rsidRPr="008C489D">
        <w:rPr>
          <w:noProof/>
          <w:lang w:val="en-US"/>
        </w:rPr>
        <w:t>“A review of technologies and performances of thermal treatment</w:t>
      </w:r>
      <w:r>
        <w:rPr>
          <w:noProof/>
          <w:lang w:val="en-US"/>
        </w:rPr>
        <w:t xml:space="preserve"> </w:t>
      </w:r>
      <w:r w:rsidRPr="008C489D">
        <w:rPr>
          <w:noProof/>
          <w:lang w:val="en-US"/>
        </w:rPr>
        <w:t>systems for energy recovery from waste</w:t>
      </w:r>
      <w:r>
        <w:rPr>
          <w:noProof/>
          <w:lang w:val="en-US"/>
        </w:rPr>
        <w:t xml:space="preserve">”. </w:t>
      </w:r>
      <w:r>
        <w:rPr>
          <w:i/>
          <w:iCs/>
          <w:noProof/>
          <w:lang w:val="en-US"/>
        </w:rPr>
        <w:t>Waste Management</w:t>
      </w:r>
      <w:r>
        <w:rPr>
          <w:noProof/>
          <w:lang w:val="en-US"/>
        </w:rPr>
        <w:t xml:space="preserve">, vol. 37, pp. 26-44, 2015. </w:t>
      </w:r>
      <w:r w:rsidRPr="003971CF">
        <w:rPr>
          <w:lang w:val="en-US"/>
        </w:rPr>
        <w:t>http://dx.doi.org/10.1016/j.wasman.2014.11.010</w:t>
      </w:r>
    </w:p>
    <w:p w14:paraId="3E5827F2" w14:textId="1B60C600" w:rsidR="00893FC8" w:rsidRDefault="00893FC8" w:rsidP="007541F3">
      <w:pPr>
        <w:rPr>
          <w:noProof/>
          <w:lang w:val="en-US"/>
        </w:rPr>
      </w:pPr>
    </w:p>
    <w:p w14:paraId="7C88D636" w14:textId="2A26DE14" w:rsidR="003A7076" w:rsidRPr="00472224" w:rsidRDefault="003A7076" w:rsidP="003A7076">
      <w:pPr>
        <w:rPr>
          <w:noProof/>
          <w:lang w:val="es-ES"/>
        </w:rPr>
      </w:pPr>
      <w:r>
        <w:rPr>
          <w:noProof/>
          <w:lang w:val="en-US"/>
        </w:rPr>
        <w:t xml:space="preserve">[20] D. Chen, L. Yin, H. Wang, P. He. “Reprint of: Pyrolysis technologies for municipal solid waste: A review”. </w:t>
      </w:r>
      <w:r w:rsidRPr="00472224">
        <w:rPr>
          <w:i/>
          <w:iCs/>
          <w:noProof/>
          <w:lang w:val="es-ES"/>
        </w:rPr>
        <w:t>Waste Management</w:t>
      </w:r>
      <w:r w:rsidRPr="00472224">
        <w:rPr>
          <w:noProof/>
          <w:lang w:val="es-ES"/>
        </w:rPr>
        <w:t>, vol 43, n.° 12, pp. 2466-2486, 2014. Disponible en: https://www.sciencedirect.com/science/article/pii/S0956053X14003596</w:t>
      </w:r>
    </w:p>
    <w:p w14:paraId="6A98A1EC" w14:textId="77777777" w:rsidR="003A7076" w:rsidRPr="00472224" w:rsidRDefault="003A7076" w:rsidP="007541F3">
      <w:pPr>
        <w:rPr>
          <w:noProof/>
          <w:lang w:val="es-ES"/>
        </w:rPr>
      </w:pPr>
    </w:p>
    <w:p w14:paraId="51E78DBE" w14:textId="12BBB90D" w:rsidR="00727F8B" w:rsidRPr="004C5650" w:rsidRDefault="00727F8B" w:rsidP="007541F3">
      <w:pPr>
        <w:rPr>
          <w:noProof/>
          <w:lang w:val="es-CL"/>
        </w:rPr>
      </w:pPr>
      <w:r>
        <w:rPr>
          <w:noProof/>
          <w:lang w:val="es-CL"/>
        </w:rPr>
        <w:lastRenderedPageBreak/>
        <w:t>[</w:t>
      </w:r>
      <w:r w:rsidR="00472224">
        <w:rPr>
          <w:noProof/>
          <w:lang w:val="es-CL"/>
        </w:rPr>
        <w:t>21</w:t>
      </w:r>
      <w:r>
        <w:rPr>
          <w:noProof/>
          <w:lang w:val="es-CL"/>
        </w:rPr>
        <w:t xml:space="preserve">] </w:t>
      </w:r>
      <w:r w:rsidR="00331055" w:rsidRPr="00331055">
        <w:rPr>
          <w:noProof/>
          <w:lang w:val="es-CL"/>
        </w:rPr>
        <w:t>Informe consolidado de emisiones y transferencias de contaminantes 2005-2019</w:t>
      </w:r>
      <w:r w:rsidR="00361B03">
        <w:rPr>
          <w:noProof/>
          <w:lang w:val="es-CL"/>
        </w:rPr>
        <w:t>.</w:t>
      </w:r>
      <w:r w:rsidR="00331055">
        <w:rPr>
          <w:i/>
          <w:iCs/>
          <w:noProof/>
          <w:lang w:val="es-CL"/>
        </w:rPr>
        <w:t xml:space="preserve"> </w:t>
      </w:r>
      <w:r w:rsidR="00CA2D8B">
        <w:rPr>
          <w:noProof/>
          <w:lang w:val="es-CL"/>
        </w:rPr>
        <w:t>Ministerio del Medio Ambiente</w:t>
      </w:r>
      <w:r w:rsidR="00361B03">
        <w:rPr>
          <w:noProof/>
          <w:lang w:val="es-CL"/>
        </w:rPr>
        <w:t xml:space="preserve">, </w:t>
      </w:r>
      <w:r w:rsidR="004C5650">
        <w:rPr>
          <w:noProof/>
          <w:lang w:val="es-CL"/>
        </w:rPr>
        <w:t>Santiago de Chile</w:t>
      </w:r>
      <w:r w:rsidR="00361B03">
        <w:rPr>
          <w:noProof/>
          <w:lang w:val="es-CL"/>
        </w:rPr>
        <w:t>, Chile</w:t>
      </w:r>
      <w:r w:rsidR="00B16F30">
        <w:rPr>
          <w:noProof/>
          <w:lang w:val="es-CL"/>
        </w:rPr>
        <w:t>, 2021</w:t>
      </w:r>
      <w:r w:rsidR="008A2F5B">
        <w:rPr>
          <w:noProof/>
          <w:lang w:val="es-CL"/>
        </w:rPr>
        <w:t xml:space="preserve">, pp.84 </w:t>
      </w:r>
      <w:r w:rsidR="00BC4337">
        <w:rPr>
          <w:noProof/>
          <w:lang w:val="es-CL"/>
        </w:rPr>
        <w:t xml:space="preserve">[en línea]. Disponible: </w:t>
      </w:r>
      <w:hyperlink r:id="rId27" w:history="1">
        <w:r w:rsidR="00FB1B31" w:rsidRPr="001C03FC">
          <w:rPr>
            <w:rStyle w:val="Hipervnculo"/>
            <w:noProof/>
            <w:lang w:val="es-CL"/>
          </w:rPr>
          <w:t>https://retc.mma.gob.cl/</w:t>
        </w:r>
      </w:hyperlink>
      <w:r w:rsidR="00FB1B31">
        <w:rPr>
          <w:noProof/>
          <w:lang w:val="es-CL"/>
        </w:rPr>
        <w:t xml:space="preserve"> </w:t>
      </w:r>
    </w:p>
    <w:p w14:paraId="1223795D" w14:textId="77777777" w:rsidR="00727F8B" w:rsidRPr="00146274" w:rsidRDefault="00727F8B" w:rsidP="007541F3">
      <w:pPr>
        <w:rPr>
          <w:noProof/>
          <w:lang w:val="es-CL"/>
        </w:rPr>
      </w:pPr>
    </w:p>
    <w:p w14:paraId="3058A285" w14:textId="4AECE6B8" w:rsidR="00D10ACD" w:rsidRDefault="00CD115F" w:rsidP="007541F3">
      <w:pPr>
        <w:rPr>
          <w:noProof/>
          <w:lang w:val="es-CL"/>
        </w:rPr>
      </w:pPr>
      <w:r>
        <w:rPr>
          <w:noProof/>
          <w:lang w:val="es-CL"/>
        </w:rPr>
        <w:t>[</w:t>
      </w:r>
      <w:r w:rsidR="00CB41D9">
        <w:rPr>
          <w:noProof/>
          <w:lang w:val="es-CL"/>
        </w:rPr>
        <w:t>22</w:t>
      </w:r>
      <w:r>
        <w:rPr>
          <w:noProof/>
          <w:lang w:val="es-CL"/>
        </w:rPr>
        <w:t xml:space="preserve">] </w:t>
      </w:r>
      <w:r w:rsidR="000B5BEB">
        <w:rPr>
          <w:noProof/>
          <w:lang w:val="es-CL"/>
        </w:rPr>
        <w:t xml:space="preserve">Registro de Emisiones y </w:t>
      </w:r>
      <w:r w:rsidR="00B373D5">
        <w:rPr>
          <w:noProof/>
          <w:lang w:val="es-CL"/>
        </w:rPr>
        <w:t>Transferencia de Contaminantes</w:t>
      </w:r>
      <w:r w:rsidR="00AB50DE">
        <w:rPr>
          <w:noProof/>
          <w:lang w:val="es-CL"/>
        </w:rPr>
        <w:t>, Open Data</w:t>
      </w:r>
      <w:r w:rsidR="00B373D5">
        <w:rPr>
          <w:noProof/>
          <w:lang w:val="es-CL"/>
        </w:rPr>
        <w:t>. Ministerio del Medio Ambiente</w:t>
      </w:r>
      <w:r w:rsidR="007A3649">
        <w:rPr>
          <w:noProof/>
          <w:lang w:val="es-CL"/>
        </w:rPr>
        <w:t>, Santiago de Chile,</w:t>
      </w:r>
      <w:r w:rsidR="00B373D5">
        <w:rPr>
          <w:noProof/>
          <w:lang w:val="es-CL"/>
        </w:rPr>
        <w:t xml:space="preserve"> Chile</w:t>
      </w:r>
      <w:r w:rsidR="00355537">
        <w:rPr>
          <w:noProof/>
          <w:lang w:val="es-CL"/>
        </w:rPr>
        <w:t xml:space="preserve">, </w:t>
      </w:r>
      <w:r w:rsidR="003417D8">
        <w:rPr>
          <w:noProof/>
          <w:lang w:val="es-CL"/>
        </w:rPr>
        <w:t xml:space="preserve">2022 [en línea]. Disponible en </w:t>
      </w:r>
      <w:r w:rsidR="004758C9" w:rsidRPr="004758C9">
        <w:rPr>
          <w:noProof/>
          <w:lang w:val="es-CL"/>
        </w:rPr>
        <w:t>https://datosretc.mma.gob.cl/group</w:t>
      </w:r>
    </w:p>
    <w:p w14:paraId="056483C9" w14:textId="7C205D94" w:rsidR="00CD115F" w:rsidRDefault="00CD115F" w:rsidP="007541F3">
      <w:pPr>
        <w:rPr>
          <w:noProof/>
          <w:lang w:val="es-CL"/>
        </w:rPr>
      </w:pPr>
    </w:p>
    <w:p w14:paraId="00B2F360" w14:textId="5F493232" w:rsidR="00CD115F" w:rsidRPr="00D5765D" w:rsidRDefault="00BD7EDF" w:rsidP="007541F3">
      <w:pPr>
        <w:rPr>
          <w:noProof/>
          <w:lang w:val="es-CL"/>
        </w:rPr>
      </w:pPr>
      <w:r>
        <w:rPr>
          <w:noProof/>
          <w:lang w:val="es-CL"/>
        </w:rPr>
        <w:t>[</w:t>
      </w:r>
      <w:r w:rsidR="00CB41D9">
        <w:rPr>
          <w:noProof/>
          <w:lang w:val="es-CL"/>
        </w:rPr>
        <w:t>23</w:t>
      </w:r>
      <w:r>
        <w:rPr>
          <w:noProof/>
          <w:lang w:val="es-CL"/>
        </w:rPr>
        <w:t xml:space="preserve">] </w:t>
      </w:r>
      <w:r w:rsidR="00D13FB8" w:rsidRPr="00D5765D">
        <w:rPr>
          <w:noProof/>
          <w:lang w:val="es-CL"/>
        </w:rPr>
        <w:t>Medición del consumo nacional de leña y otros combustibles sólidos derivados de la madera.</w:t>
      </w:r>
      <w:r w:rsidR="00D5765D">
        <w:rPr>
          <w:noProof/>
          <w:lang w:val="es-CL"/>
        </w:rPr>
        <w:t xml:space="preserve"> Corporación del Desarrollo Tecnológico</w:t>
      </w:r>
      <w:r w:rsidR="00932923">
        <w:rPr>
          <w:noProof/>
          <w:lang w:val="es-CL"/>
        </w:rPr>
        <w:t>, Santiago de Chile, Chile: Ministerio de Energía</w:t>
      </w:r>
      <w:r w:rsidR="00F72502">
        <w:rPr>
          <w:noProof/>
          <w:lang w:val="es-CL"/>
        </w:rPr>
        <w:t>, 2015, pp.</w:t>
      </w:r>
      <w:r w:rsidR="00CC0F33">
        <w:rPr>
          <w:noProof/>
          <w:lang w:val="es-CL"/>
        </w:rPr>
        <w:t>65, 230</w:t>
      </w:r>
      <w:r w:rsidR="00FF262D">
        <w:rPr>
          <w:noProof/>
          <w:lang w:val="es-CL"/>
        </w:rPr>
        <w:t xml:space="preserve"> [en línea]</w:t>
      </w:r>
      <w:r w:rsidR="009079D5">
        <w:rPr>
          <w:noProof/>
          <w:lang w:val="es-CL"/>
        </w:rPr>
        <w:t xml:space="preserve"> Disponible: </w:t>
      </w:r>
      <w:hyperlink r:id="rId28" w:history="1">
        <w:r w:rsidR="00FF262D" w:rsidRPr="001C03FC">
          <w:rPr>
            <w:rStyle w:val="Hipervnculo"/>
            <w:noProof/>
            <w:lang w:val="es-CL"/>
          </w:rPr>
          <w:t>https://biblioteca.digital.gob.cl/handle/123456789/586</w:t>
        </w:r>
      </w:hyperlink>
      <w:r w:rsidR="00FF262D">
        <w:rPr>
          <w:noProof/>
          <w:lang w:val="es-CL"/>
        </w:rPr>
        <w:t xml:space="preserve"> </w:t>
      </w:r>
    </w:p>
    <w:p w14:paraId="60BF796D" w14:textId="483DDB76" w:rsidR="00BD7EDF" w:rsidRDefault="00BD7EDF" w:rsidP="007541F3">
      <w:pPr>
        <w:rPr>
          <w:noProof/>
          <w:lang w:val="es-CL"/>
        </w:rPr>
      </w:pPr>
    </w:p>
    <w:p w14:paraId="08191BE8" w14:textId="21EA36EF" w:rsidR="00DC145B" w:rsidRDefault="00DC145B" w:rsidP="007541F3">
      <w:pPr>
        <w:rPr>
          <w:noProof/>
          <w:lang w:val="es-CL"/>
        </w:rPr>
      </w:pPr>
      <w:r>
        <w:rPr>
          <w:noProof/>
          <w:lang w:val="es-CL"/>
        </w:rPr>
        <w:t>[</w:t>
      </w:r>
      <w:r w:rsidR="00CB41D9">
        <w:rPr>
          <w:noProof/>
          <w:lang w:val="es-CL"/>
        </w:rPr>
        <w:t>24</w:t>
      </w:r>
      <w:r>
        <w:rPr>
          <w:noProof/>
          <w:lang w:val="es-CL"/>
        </w:rPr>
        <w:t xml:space="preserve">] </w:t>
      </w:r>
      <w:r w:rsidR="00EF0A4E">
        <w:rPr>
          <w:noProof/>
          <w:lang w:val="es-CL"/>
        </w:rPr>
        <w:t>Gestión de Episodios Críticos de Contaminación</w:t>
      </w:r>
      <w:r w:rsidR="008E6254">
        <w:rPr>
          <w:noProof/>
          <w:lang w:val="es-CL"/>
        </w:rPr>
        <w:t xml:space="preserve"> (2021)</w:t>
      </w:r>
      <w:r w:rsidR="00EF0A4E">
        <w:rPr>
          <w:noProof/>
          <w:lang w:val="es-CL"/>
        </w:rPr>
        <w:t xml:space="preserve">. </w:t>
      </w:r>
      <w:r w:rsidR="0006278B">
        <w:rPr>
          <w:noProof/>
          <w:lang w:val="es-CL"/>
        </w:rPr>
        <w:t xml:space="preserve">Seremi </w:t>
      </w:r>
      <w:r w:rsidR="00A06598">
        <w:rPr>
          <w:noProof/>
          <w:lang w:val="es-CL"/>
        </w:rPr>
        <w:t>del Medio Ambiente</w:t>
      </w:r>
      <w:r w:rsidR="00A43726">
        <w:rPr>
          <w:noProof/>
          <w:lang w:val="es-CL"/>
        </w:rPr>
        <w:t xml:space="preserve"> Región de Los Ríos</w:t>
      </w:r>
      <w:r w:rsidR="008E6254">
        <w:rPr>
          <w:noProof/>
          <w:lang w:val="es-CL"/>
        </w:rPr>
        <w:t>, Valdivia, Chile, 2021 [en línea]</w:t>
      </w:r>
      <w:r w:rsidR="00A8465C">
        <w:rPr>
          <w:noProof/>
          <w:lang w:val="es-CL"/>
        </w:rPr>
        <w:t xml:space="preserve">. Disponible en </w:t>
      </w:r>
      <w:r w:rsidR="0049618A" w:rsidRPr="0049618A">
        <w:rPr>
          <w:noProof/>
          <w:lang w:val="es-CL"/>
        </w:rPr>
        <w:t>https://ppda.mma.gob.cl/wp-content/uploads/2021/11/Informe-Analisis-GEC-2021_Valdivia_04102021_REV_jpp-ddc.pdf</w:t>
      </w:r>
    </w:p>
    <w:p w14:paraId="107AF4DE" w14:textId="77777777" w:rsidR="00DC145B" w:rsidRDefault="00DC145B" w:rsidP="007541F3">
      <w:pPr>
        <w:rPr>
          <w:noProof/>
          <w:lang w:val="es-CL"/>
        </w:rPr>
      </w:pPr>
    </w:p>
    <w:p w14:paraId="6FA7E2EF" w14:textId="72A68939" w:rsidR="00A22993" w:rsidRPr="005F50C6" w:rsidRDefault="00A22993" w:rsidP="007541F3">
      <w:pPr>
        <w:rPr>
          <w:noProof/>
          <w:lang w:val="en-US"/>
        </w:rPr>
      </w:pPr>
      <w:r>
        <w:rPr>
          <w:noProof/>
          <w:lang w:val="es-CL"/>
        </w:rPr>
        <w:t>[</w:t>
      </w:r>
      <w:r w:rsidR="006A774B">
        <w:rPr>
          <w:noProof/>
          <w:lang w:val="es-CL"/>
        </w:rPr>
        <w:t>25</w:t>
      </w:r>
      <w:r>
        <w:rPr>
          <w:noProof/>
          <w:lang w:val="es-CL"/>
        </w:rPr>
        <w:t>]</w:t>
      </w:r>
      <w:r w:rsidR="00EF1CA8">
        <w:rPr>
          <w:noProof/>
          <w:lang w:val="es-CL"/>
        </w:rPr>
        <w:t xml:space="preserve"> </w:t>
      </w:r>
      <w:r w:rsidR="00C3723B">
        <w:rPr>
          <w:noProof/>
          <w:lang w:val="es-CL"/>
        </w:rPr>
        <w:t xml:space="preserve">Ministerio del Medio Ambiente (2019). </w:t>
      </w:r>
      <w:r w:rsidR="00C71EBE">
        <w:rPr>
          <w:noProof/>
          <w:lang w:val="es-CL"/>
        </w:rPr>
        <w:t xml:space="preserve">Análisis general de impacto económico y social de </w:t>
      </w:r>
      <w:r w:rsidR="002B597A">
        <w:rPr>
          <w:noProof/>
          <w:lang w:val="es-CL"/>
        </w:rPr>
        <w:t>metas de recolección y valorización para el producto prioritario “envases y embalajes” contenido en la Ley 20.920</w:t>
      </w:r>
      <w:r w:rsidR="000A0C29">
        <w:rPr>
          <w:noProof/>
          <w:lang w:val="es-CL"/>
        </w:rPr>
        <w:t xml:space="preserve"> (AGIES)</w:t>
      </w:r>
      <w:r w:rsidR="005E0FD0">
        <w:rPr>
          <w:noProof/>
          <w:lang w:val="es-CL"/>
        </w:rPr>
        <w:t xml:space="preserve"> [en línea]</w:t>
      </w:r>
      <w:r w:rsidR="00E30796">
        <w:rPr>
          <w:noProof/>
          <w:lang w:val="es-CL"/>
        </w:rPr>
        <w:t xml:space="preserve">. </w:t>
      </w:r>
      <w:r w:rsidR="005E0FD0" w:rsidRPr="005F50C6">
        <w:rPr>
          <w:noProof/>
          <w:lang w:val="en-US"/>
        </w:rPr>
        <w:t xml:space="preserve">Disponible en: </w:t>
      </w:r>
      <w:r w:rsidR="000A0C29" w:rsidRPr="005F50C6">
        <w:rPr>
          <w:noProof/>
          <w:lang w:val="en-US"/>
        </w:rPr>
        <w:t>https://mma.gob.cl/?s=Agies</w:t>
      </w:r>
    </w:p>
    <w:p w14:paraId="746819BF" w14:textId="58B0B0D7" w:rsidR="008C489D" w:rsidRDefault="008C489D" w:rsidP="008C489D">
      <w:pPr>
        <w:rPr>
          <w:noProof/>
          <w:lang w:val="en-US"/>
        </w:rPr>
      </w:pPr>
    </w:p>
    <w:p w14:paraId="0D7D1D12" w14:textId="63C82358" w:rsidR="008C489D" w:rsidRDefault="001F2227" w:rsidP="008C489D">
      <w:pPr>
        <w:rPr>
          <w:rStyle w:val="CitaHTML"/>
          <w:i w:val="0"/>
          <w:iCs w:val="0"/>
          <w:lang w:val="es-ES"/>
        </w:rPr>
      </w:pPr>
      <w:r>
        <w:rPr>
          <w:noProof/>
          <w:lang w:val="en-US"/>
        </w:rPr>
        <w:t>[</w:t>
      </w:r>
      <w:r w:rsidR="00C571FB">
        <w:rPr>
          <w:noProof/>
          <w:lang w:val="en-US"/>
        </w:rPr>
        <w:t>26</w:t>
      </w:r>
      <w:r w:rsidR="00474C42">
        <w:rPr>
          <w:noProof/>
          <w:lang w:val="en-US"/>
        </w:rPr>
        <w:t xml:space="preserve">] </w:t>
      </w:r>
      <w:r w:rsidR="00911277">
        <w:rPr>
          <w:noProof/>
          <w:lang w:val="en-US"/>
        </w:rPr>
        <w:t>TNO</w:t>
      </w:r>
      <w:r w:rsidR="00916777">
        <w:rPr>
          <w:noProof/>
          <w:lang w:val="en-US"/>
        </w:rPr>
        <w:t xml:space="preserve"> </w:t>
      </w:r>
      <w:r w:rsidR="00C3584E">
        <w:rPr>
          <w:noProof/>
          <w:lang w:val="en-US"/>
        </w:rPr>
        <w:t>T</w:t>
      </w:r>
      <w:r w:rsidR="00916777">
        <w:rPr>
          <w:noProof/>
          <w:lang w:val="en-US"/>
        </w:rPr>
        <w:t>he Netherlands Organisation</w:t>
      </w:r>
      <w:r w:rsidR="000744B0">
        <w:rPr>
          <w:noProof/>
          <w:lang w:val="en-US"/>
        </w:rPr>
        <w:t xml:space="preserve"> for applied scientific research. </w:t>
      </w:r>
      <w:r w:rsidR="0034339D">
        <w:rPr>
          <w:noProof/>
          <w:lang w:val="en-US"/>
        </w:rPr>
        <w:t>“</w:t>
      </w:r>
      <w:r w:rsidR="00474C42">
        <w:rPr>
          <w:noProof/>
          <w:lang w:val="en-US"/>
        </w:rPr>
        <w:t>Phyllis2 database for (treated) biomass, algae, feedstocks</w:t>
      </w:r>
      <w:r w:rsidR="007B5D04">
        <w:rPr>
          <w:noProof/>
          <w:lang w:val="en-US"/>
        </w:rPr>
        <w:t xml:space="preserve"> for biogas production and biochar</w:t>
      </w:r>
      <w:r w:rsidR="0034339D">
        <w:rPr>
          <w:noProof/>
          <w:lang w:val="en-US"/>
        </w:rPr>
        <w:t>”</w:t>
      </w:r>
      <w:r w:rsidR="000744B0">
        <w:rPr>
          <w:noProof/>
          <w:lang w:val="en-US"/>
        </w:rPr>
        <w:t xml:space="preserve">. </w:t>
      </w:r>
      <w:r w:rsidR="000744B0" w:rsidRPr="00505F62">
        <w:rPr>
          <w:noProof/>
          <w:lang w:val="es-ES"/>
        </w:rPr>
        <w:t xml:space="preserve">Disponible en: </w:t>
      </w:r>
      <w:hyperlink r:id="rId29" w:history="1">
        <w:r w:rsidR="006B10CA" w:rsidRPr="0036202B">
          <w:rPr>
            <w:rStyle w:val="Hipervnculo"/>
            <w:lang w:val="es-ES"/>
          </w:rPr>
          <w:t>https://phyllis.nl/</w:t>
        </w:r>
      </w:hyperlink>
    </w:p>
    <w:p w14:paraId="418F0A3F" w14:textId="00126143" w:rsidR="006B10CA" w:rsidRDefault="006B10CA" w:rsidP="008C489D">
      <w:pPr>
        <w:rPr>
          <w:rStyle w:val="CitaHTML"/>
          <w:i w:val="0"/>
          <w:iCs w:val="0"/>
          <w:lang w:val="es-ES"/>
        </w:rPr>
      </w:pPr>
    </w:p>
    <w:p w14:paraId="5C29F1E6" w14:textId="1FCBC9C4" w:rsidR="006B10CA" w:rsidRPr="00DD3803" w:rsidRDefault="00C94105" w:rsidP="008C489D">
      <w:pPr>
        <w:rPr>
          <w:noProof/>
          <w:lang w:val="es-ES"/>
        </w:rPr>
      </w:pPr>
      <w:r w:rsidRPr="005F50C6">
        <w:rPr>
          <w:noProof/>
          <w:lang w:val="es-CL"/>
        </w:rPr>
        <w:t>[</w:t>
      </w:r>
      <w:r w:rsidR="0032719B" w:rsidRPr="005F50C6">
        <w:rPr>
          <w:noProof/>
          <w:lang w:val="es-CL"/>
        </w:rPr>
        <w:t>27</w:t>
      </w:r>
      <w:r w:rsidRPr="005F50C6">
        <w:rPr>
          <w:noProof/>
          <w:lang w:val="es-CL"/>
        </w:rPr>
        <w:t xml:space="preserve">] A. Tabasová, J. Kropác, V. Kermes, A. Nemet, P. Stehlík. </w:t>
      </w:r>
      <w:r>
        <w:rPr>
          <w:noProof/>
          <w:lang w:val="en-US"/>
        </w:rPr>
        <w:t xml:space="preserve">“Waste to energy technologies: Impact on environment”. </w:t>
      </w:r>
      <w:r w:rsidRPr="005F50C6">
        <w:rPr>
          <w:i/>
          <w:iCs/>
          <w:noProof/>
          <w:lang w:val="es-CL"/>
        </w:rPr>
        <w:t>Energy</w:t>
      </w:r>
      <w:r w:rsidRPr="005F50C6">
        <w:rPr>
          <w:noProof/>
          <w:lang w:val="es-CL"/>
        </w:rPr>
        <w:t xml:space="preserve">, vol. 44, n° 1, pp.146-155, 2012. </w:t>
      </w:r>
      <w:r w:rsidRPr="00DD3803">
        <w:rPr>
          <w:noProof/>
          <w:lang w:val="es-ES"/>
        </w:rPr>
        <w:t xml:space="preserve">Disponible en </w:t>
      </w:r>
      <w:hyperlink r:id="rId30" w:history="1">
        <w:r w:rsidRPr="00DD3803">
          <w:rPr>
            <w:rStyle w:val="Hipervnculo"/>
            <w:noProof/>
            <w:lang w:val="es-ES"/>
          </w:rPr>
          <w:t>https://www.sciencedirect.com/science/article/pii/S0360544212000199</w:t>
        </w:r>
      </w:hyperlink>
    </w:p>
    <w:p w14:paraId="5CAB420A" w14:textId="77777777" w:rsidR="009A0139" w:rsidRPr="005F50C6" w:rsidRDefault="009A0139" w:rsidP="009A0139">
      <w:pPr>
        <w:rPr>
          <w:noProof/>
          <w:lang w:val="es-CL"/>
        </w:rPr>
      </w:pPr>
    </w:p>
    <w:p w14:paraId="2B4D74BE" w14:textId="4D86325C" w:rsidR="009A0139" w:rsidRDefault="009A0139" w:rsidP="009A0139">
      <w:pPr>
        <w:rPr>
          <w:rStyle w:val="Hipervnculo"/>
          <w:noProof/>
          <w:lang w:val="en-US"/>
        </w:rPr>
      </w:pPr>
      <w:r w:rsidRPr="00C723E2">
        <w:rPr>
          <w:noProof/>
          <w:lang w:val="en-US"/>
        </w:rPr>
        <w:t>[</w:t>
      </w:r>
      <w:r w:rsidR="005C655A">
        <w:rPr>
          <w:noProof/>
          <w:lang w:val="en-US"/>
        </w:rPr>
        <w:t>28</w:t>
      </w:r>
      <w:r w:rsidRPr="00C723E2">
        <w:rPr>
          <w:noProof/>
          <w:lang w:val="en-US"/>
        </w:rPr>
        <w:t>] European Commission, Joint Research C</w:t>
      </w:r>
      <w:r>
        <w:rPr>
          <w:noProof/>
          <w:lang w:val="en-US"/>
        </w:rPr>
        <w:t xml:space="preserve">entre, Cusano, G., Roudier, S., Neuwahl, F. et al. Best Available Techniques (BAT) reference document for waste incineration: Industrial Emissions Directive 2010/75/EU (Integrated Pollution Prevention and Control), Publications Office, 2020, </w:t>
      </w:r>
      <w:hyperlink r:id="rId31" w:history="1">
        <w:r w:rsidRPr="00BC604F">
          <w:rPr>
            <w:rStyle w:val="Hipervnculo"/>
            <w:noProof/>
            <w:lang w:val="en-US"/>
          </w:rPr>
          <w:t>https://data.europa.eu/doi/10.2760/761437</w:t>
        </w:r>
      </w:hyperlink>
    </w:p>
    <w:p w14:paraId="3046C731" w14:textId="77777777" w:rsidR="005C655A" w:rsidRDefault="005C655A" w:rsidP="009A0139">
      <w:pPr>
        <w:rPr>
          <w:noProof/>
          <w:lang w:val="en-US"/>
        </w:rPr>
      </w:pPr>
    </w:p>
    <w:p w14:paraId="5407E26C" w14:textId="7F0C6B4F" w:rsidR="005C655A" w:rsidRDefault="005C655A" w:rsidP="005C655A">
      <w:pPr>
        <w:rPr>
          <w:noProof/>
          <w:lang w:val="es-CL"/>
        </w:rPr>
      </w:pPr>
      <w:r w:rsidRPr="003F0497">
        <w:rPr>
          <w:noProof/>
          <w:lang w:val="es-CL"/>
        </w:rPr>
        <w:t>[</w:t>
      </w:r>
      <w:r>
        <w:rPr>
          <w:noProof/>
          <w:lang w:val="es-CL"/>
        </w:rPr>
        <w:t>29</w:t>
      </w:r>
      <w:r w:rsidRPr="003F0497">
        <w:rPr>
          <w:noProof/>
          <w:lang w:val="es-CL"/>
        </w:rPr>
        <w:t>] Y. Cengel, M. B</w:t>
      </w:r>
      <w:r>
        <w:rPr>
          <w:noProof/>
          <w:lang w:val="es-CL"/>
        </w:rPr>
        <w:t>oles. “Termodinámica”. México: McGraw-Hill, 2012.</w:t>
      </w:r>
    </w:p>
    <w:p w14:paraId="1A7DB8C0" w14:textId="77777777" w:rsidR="005E3F47" w:rsidRDefault="005E3F47" w:rsidP="005C655A">
      <w:pPr>
        <w:rPr>
          <w:noProof/>
          <w:lang w:val="es-CL"/>
        </w:rPr>
      </w:pPr>
    </w:p>
    <w:p w14:paraId="1911C893" w14:textId="3DBD92B5" w:rsidR="005E3F47" w:rsidRDefault="005E3F47" w:rsidP="005E3F47">
      <w:pPr>
        <w:rPr>
          <w:noProof/>
          <w:lang w:val="es-CL"/>
        </w:rPr>
      </w:pPr>
      <w:r>
        <w:rPr>
          <w:noProof/>
          <w:lang w:val="es-CL"/>
        </w:rPr>
        <w:t xml:space="preserve">[30] Anuario Meteorológico 2020. Dirección General de Aeronáutica Civil. Dirección Meteorológica de Chile, Santiago de Chile, 2021, pp.67 [en línea]. Disponible: </w:t>
      </w:r>
      <w:hyperlink r:id="rId32" w:history="1">
        <w:r w:rsidRPr="00AF2F24">
          <w:rPr>
            <w:rStyle w:val="Hipervnculo"/>
            <w:noProof/>
            <w:lang w:val="es-CL"/>
          </w:rPr>
          <w:t>https://climatologia.meteochile.gob.cl/application/publicaciones/documentoPdf/anuario/anuario-2020.pdf</w:t>
        </w:r>
      </w:hyperlink>
    </w:p>
    <w:p w14:paraId="548A7A4D" w14:textId="25A8BDA1" w:rsidR="008C489D" w:rsidRPr="005E3F47" w:rsidRDefault="008C489D" w:rsidP="008C489D">
      <w:pPr>
        <w:rPr>
          <w:noProof/>
          <w:lang w:val="es-CL"/>
        </w:rPr>
      </w:pPr>
    </w:p>
    <w:p w14:paraId="5E71C81C" w14:textId="361411F6" w:rsidR="00ED6471" w:rsidRPr="00A836ED" w:rsidRDefault="00ED6471" w:rsidP="00ED6471">
      <w:pPr>
        <w:rPr>
          <w:noProof/>
          <w:lang w:val="en-US"/>
        </w:rPr>
      </w:pPr>
      <w:r w:rsidRPr="006632B7">
        <w:rPr>
          <w:noProof/>
          <w:lang w:val="en-US"/>
        </w:rPr>
        <w:t>[</w:t>
      </w:r>
      <w:r w:rsidR="00411832">
        <w:rPr>
          <w:noProof/>
          <w:lang w:val="en-US"/>
        </w:rPr>
        <w:t>31</w:t>
      </w:r>
      <w:r w:rsidRPr="006632B7">
        <w:rPr>
          <w:noProof/>
          <w:lang w:val="en-US"/>
        </w:rPr>
        <w:t xml:space="preserve">] M. Pavlas, M. Tous, P. Limek, L. Bébar. </w:t>
      </w:r>
      <w:r>
        <w:rPr>
          <w:noProof/>
          <w:lang w:val="en-US"/>
        </w:rPr>
        <w:t xml:space="preserve">“Waste incineration with production of clean and reliable energy”. </w:t>
      </w:r>
      <w:r w:rsidRPr="00FB5AFB">
        <w:rPr>
          <w:i/>
          <w:iCs/>
          <w:noProof/>
          <w:lang w:val="en-US"/>
        </w:rPr>
        <w:t>Clean Technologies and Environmental Policy</w:t>
      </w:r>
      <w:r>
        <w:rPr>
          <w:noProof/>
          <w:lang w:val="en-US"/>
        </w:rPr>
        <w:t xml:space="preserve">, vol. 13, n° 4, pp. 595-605, 2011. Disponible en </w:t>
      </w:r>
      <w:hyperlink r:id="rId33" w:history="1">
        <w:r w:rsidRPr="00BC604F">
          <w:rPr>
            <w:rStyle w:val="Hipervnculo"/>
            <w:noProof/>
            <w:lang w:val="en-US"/>
          </w:rPr>
          <w:t>https://doi.org/10.1007/s10098-011-0353-5</w:t>
        </w:r>
      </w:hyperlink>
      <w:r>
        <w:rPr>
          <w:noProof/>
          <w:lang w:val="en-US"/>
        </w:rPr>
        <w:t xml:space="preserve"> </w:t>
      </w:r>
    </w:p>
    <w:p w14:paraId="5E42F76E" w14:textId="1F913300" w:rsidR="001851B6" w:rsidRPr="005F50C6" w:rsidRDefault="001851B6" w:rsidP="008C489D">
      <w:pPr>
        <w:rPr>
          <w:noProof/>
          <w:lang w:val="en-US"/>
        </w:rPr>
      </w:pPr>
    </w:p>
    <w:p w14:paraId="205E4B90" w14:textId="43BC1606" w:rsidR="00411832" w:rsidRDefault="00411832" w:rsidP="008C489D">
      <w:pPr>
        <w:rPr>
          <w:noProof/>
          <w:lang w:val="es-ES"/>
        </w:rPr>
      </w:pPr>
      <w:r>
        <w:rPr>
          <w:noProof/>
          <w:lang w:val="es-ES"/>
        </w:rPr>
        <w:t xml:space="preserve">[32] </w:t>
      </w:r>
      <w:r w:rsidR="00DF444A">
        <w:rPr>
          <w:noProof/>
          <w:lang w:val="es-ES"/>
        </w:rPr>
        <w:t xml:space="preserve">J. </w:t>
      </w:r>
      <w:r w:rsidR="00B86E3A">
        <w:rPr>
          <w:noProof/>
          <w:lang w:val="es-ES"/>
        </w:rPr>
        <w:t>Balcázar</w:t>
      </w:r>
      <w:r w:rsidR="00DF444A">
        <w:rPr>
          <w:noProof/>
          <w:lang w:val="es-ES"/>
        </w:rPr>
        <w:t>, R. Alves, J. Perrella</w:t>
      </w:r>
      <w:r w:rsidR="00A86C57">
        <w:rPr>
          <w:noProof/>
          <w:lang w:val="es-ES"/>
        </w:rPr>
        <w:t xml:space="preserve">. </w:t>
      </w:r>
      <w:r w:rsidR="00A86C57" w:rsidRPr="00A86C57">
        <w:rPr>
          <w:noProof/>
          <w:lang w:val="en-US"/>
        </w:rPr>
        <w:t>“Analysis of hybrid waste-to-energy for medium-sized cities</w:t>
      </w:r>
      <w:r w:rsidR="00A86C57">
        <w:rPr>
          <w:noProof/>
          <w:lang w:val="en-US"/>
        </w:rPr>
        <w:t xml:space="preserve">”. </w:t>
      </w:r>
      <w:r w:rsidR="00A86C57" w:rsidRPr="00F121FC">
        <w:rPr>
          <w:i/>
          <w:iCs/>
          <w:noProof/>
          <w:lang w:val="es-ES"/>
        </w:rPr>
        <w:t>Energy</w:t>
      </w:r>
      <w:r w:rsidR="008E37BB" w:rsidRPr="00F121FC">
        <w:rPr>
          <w:noProof/>
          <w:lang w:val="es-ES"/>
        </w:rPr>
        <w:t xml:space="preserve">, vol. 55, </w:t>
      </w:r>
      <w:r w:rsidR="00D52E11" w:rsidRPr="00F121FC">
        <w:rPr>
          <w:noProof/>
          <w:lang w:val="es-ES"/>
        </w:rPr>
        <w:t xml:space="preserve">pp. 728-741. Disponible en </w:t>
      </w:r>
      <w:hyperlink r:id="rId34" w:history="1">
        <w:r w:rsidR="00F121FC" w:rsidRPr="00AF2F24">
          <w:rPr>
            <w:rStyle w:val="Hipervnculo"/>
            <w:noProof/>
            <w:lang w:val="es-ES"/>
          </w:rPr>
          <w:t>https://doi.org/10.1016/j.energy.2013.02.003</w:t>
        </w:r>
      </w:hyperlink>
      <w:r w:rsidR="00F121FC">
        <w:rPr>
          <w:noProof/>
          <w:lang w:val="es-ES"/>
        </w:rPr>
        <w:t xml:space="preserve"> </w:t>
      </w:r>
    </w:p>
    <w:p w14:paraId="21A5AFA2" w14:textId="77777777" w:rsidR="00F121FC" w:rsidRPr="00F121FC" w:rsidRDefault="00F121FC" w:rsidP="008C489D">
      <w:pPr>
        <w:rPr>
          <w:noProof/>
          <w:lang w:val="es-ES"/>
        </w:rPr>
      </w:pPr>
    </w:p>
    <w:p w14:paraId="51438CD6" w14:textId="7F6A4EE1" w:rsidR="00297D70" w:rsidRPr="00862066" w:rsidRDefault="00297D70" w:rsidP="008C489D">
      <w:pPr>
        <w:rPr>
          <w:noProof/>
          <w:lang w:val="es-CL"/>
        </w:rPr>
      </w:pPr>
      <w:r w:rsidRPr="005F50C6">
        <w:rPr>
          <w:noProof/>
          <w:lang w:val="en-US"/>
        </w:rPr>
        <w:t>[</w:t>
      </w:r>
      <w:r w:rsidR="00F121FC" w:rsidRPr="005F50C6">
        <w:rPr>
          <w:noProof/>
          <w:lang w:val="en-US"/>
        </w:rPr>
        <w:t>33</w:t>
      </w:r>
      <w:r w:rsidRPr="005F50C6">
        <w:rPr>
          <w:noProof/>
          <w:lang w:val="en-US"/>
        </w:rPr>
        <w:t xml:space="preserve">] </w:t>
      </w:r>
      <w:r w:rsidR="00830ACA" w:rsidRPr="005F50C6">
        <w:rPr>
          <w:noProof/>
          <w:lang w:val="en-US"/>
        </w:rPr>
        <w:t xml:space="preserve">M. </w:t>
      </w:r>
      <w:r w:rsidR="00951E09" w:rsidRPr="005F50C6">
        <w:rPr>
          <w:noProof/>
          <w:lang w:val="en-US"/>
        </w:rPr>
        <w:t xml:space="preserve">Yan, Antoni, J. Wang, D. Hantoko, E. Kanchanatip. </w:t>
      </w:r>
      <w:r w:rsidR="00562D74" w:rsidRPr="00562D74">
        <w:rPr>
          <w:noProof/>
          <w:lang w:val="en-US"/>
        </w:rPr>
        <w:t>“Numerical investigation of</w:t>
      </w:r>
      <w:r w:rsidR="00562D74">
        <w:rPr>
          <w:noProof/>
          <w:lang w:val="en-US"/>
        </w:rPr>
        <w:t xml:space="preserve"> MSW combustion influenced by air preheating in a full-scale moving grate incinerator</w:t>
      </w:r>
      <w:r w:rsidR="002C0C6E">
        <w:rPr>
          <w:noProof/>
          <w:lang w:val="en-US"/>
        </w:rPr>
        <w:t xml:space="preserve">”. </w:t>
      </w:r>
      <w:r w:rsidR="002C0C6E" w:rsidRPr="00862066">
        <w:rPr>
          <w:i/>
          <w:iCs/>
          <w:noProof/>
          <w:lang w:val="es-CL"/>
        </w:rPr>
        <w:t>Fuel</w:t>
      </w:r>
      <w:r w:rsidR="002C0C6E" w:rsidRPr="00862066">
        <w:rPr>
          <w:noProof/>
          <w:lang w:val="es-CL"/>
        </w:rPr>
        <w:t xml:space="preserve">, </w:t>
      </w:r>
      <w:r w:rsidR="00C94D96" w:rsidRPr="00862066">
        <w:rPr>
          <w:noProof/>
          <w:lang w:val="es-CL"/>
        </w:rPr>
        <w:t xml:space="preserve">vol. 285, </w:t>
      </w:r>
      <w:r w:rsidR="00F305FE" w:rsidRPr="00862066">
        <w:rPr>
          <w:noProof/>
          <w:lang w:val="es-CL"/>
        </w:rPr>
        <w:t xml:space="preserve">119193, 2021. Disponible en: </w:t>
      </w:r>
      <w:r w:rsidR="00862066" w:rsidRPr="00862066">
        <w:rPr>
          <w:noProof/>
          <w:lang w:val="es-CL"/>
        </w:rPr>
        <w:t>https://www.sciencedirect.com/science/article/pii/S001623612032189X</w:t>
      </w:r>
    </w:p>
    <w:p w14:paraId="46D24442" w14:textId="0B916143" w:rsidR="00297D70" w:rsidRPr="00862066" w:rsidRDefault="00297D70" w:rsidP="008C489D">
      <w:pPr>
        <w:rPr>
          <w:noProof/>
          <w:lang w:val="es-CL"/>
        </w:rPr>
      </w:pPr>
    </w:p>
    <w:p w14:paraId="634CED2D" w14:textId="1D9861E1" w:rsidR="00297D70" w:rsidRPr="00862066" w:rsidRDefault="00C942AA" w:rsidP="008C489D">
      <w:pPr>
        <w:rPr>
          <w:noProof/>
          <w:lang w:val="es-CL"/>
        </w:rPr>
      </w:pPr>
      <w:r w:rsidRPr="00DA47DC">
        <w:rPr>
          <w:noProof/>
          <w:lang w:val="en-US"/>
        </w:rPr>
        <w:t>[</w:t>
      </w:r>
      <w:r w:rsidR="00096B7B">
        <w:rPr>
          <w:noProof/>
          <w:lang w:val="en-US"/>
        </w:rPr>
        <w:t>34</w:t>
      </w:r>
      <w:r w:rsidRPr="00DA47DC">
        <w:rPr>
          <w:noProof/>
          <w:lang w:val="en-US"/>
        </w:rPr>
        <w:t xml:space="preserve">] J. Vehlow. “Air </w:t>
      </w:r>
      <w:r>
        <w:rPr>
          <w:noProof/>
          <w:lang w:val="en-US"/>
        </w:rPr>
        <w:t>p</w:t>
      </w:r>
      <w:r w:rsidRPr="00DA47DC">
        <w:rPr>
          <w:noProof/>
          <w:lang w:val="en-US"/>
        </w:rPr>
        <w:t>o</w:t>
      </w:r>
      <w:r>
        <w:rPr>
          <w:noProof/>
          <w:lang w:val="en-US"/>
        </w:rPr>
        <w:t xml:space="preserve">llution control systems in WtE units: An overview”. </w:t>
      </w:r>
      <w:r w:rsidRPr="006411EA">
        <w:rPr>
          <w:i/>
          <w:iCs/>
          <w:noProof/>
          <w:lang w:val="es-ES"/>
        </w:rPr>
        <w:t>Waste Management</w:t>
      </w:r>
      <w:r w:rsidRPr="006411EA">
        <w:rPr>
          <w:noProof/>
          <w:lang w:val="es-ES"/>
        </w:rPr>
        <w:t xml:space="preserve">, vol. 37, pp. 58-74, 2015. Disponible en </w:t>
      </w:r>
      <w:hyperlink r:id="rId35" w:history="1">
        <w:r w:rsidRPr="006411EA">
          <w:rPr>
            <w:rStyle w:val="Hipervnculo"/>
            <w:noProof/>
            <w:lang w:val="es-ES"/>
          </w:rPr>
          <w:t>https://www.sciencedirect.com/science/article/pii/S0956053X14002517</w:t>
        </w:r>
      </w:hyperlink>
    </w:p>
    <w:p w14:paraId="3B871CA2" w14:textId="5544C9C3" w:rsidR="002B5226" w:rsidRDefault="002B5226" w:rsidP="008C489D">
      <w:pPr>
        <w:rPr>
          <w:noProof/>
          <w:lang w:val="es-CL"/>
        </w:rPr>
      </w:pPr>
    </w:p>
    <w:p w14:paraId="37820F8F" w14:textId="04416AD0" w:rsidR="004863CC" w:rsidRDefault="004863CC" w:rsidP="004863CC">
      <w:pPr>
        <w:rPr>
          <w:noProof/>
          <w:lang w:val="es-CL"/>
        </w:rPr>
      </w:pPr>
      <w:r>
        <w:rPr>
          <w:noProof/>
          <w:lang w:val="es-CL"/>
        </w:rPr>
        <w:t>[</w:t>
      </w:r>
      <w:r w:rsidR="00096B7B">
        <w:rPr>
          <w:noProof/>
          <w:lang w:val="es-CL"/>
        </w:rPr>
        <w:t>35</w:t>
      </w:r>
      <w:r>
        <w:rPr>
          <w:noProof/>
          <w:lang w:val="es-CL"/>
        </w:rPr>
        <w:t xml:space="preserve">] Norma de emisión para incineración, coincineración y coprocesamiento. Ministerio del Medio Ambiente, Santiago de Chile, Chile, 2013, pp.4 [en línea]. Disponible: </w:t>
      </w:r>
      <w:r w:rsidRPr="00AF6A1B">
        <w:rPr>
          <w:noProof/>
          <w:lang w:val="es-CL"/>
        </w:rPr>
        <w:t>https://portal.sma.gob.cl/index.php/portal-regulados/instructivos-y-guias/normas-de-emision/</w:t>
      </w:r>
    </w:p>
    <w:p w14:paraId="4AFD23F7" w14:textId="6C59AAAC" w:rsidR="004863CC" w:rsidRDefault="004863CC" w:rsidP="008C489D">
      <w:pPr>
        <w:rPr>
          <w:noProof/>
          <w:lang w:val="es-CL"/>
        </w:rPr>
      </w:pPr>
    </w:p>
    <w:p w14:paraId="5A42C086" w14:textId="741C92E6" w:rsidR="0065560D" w:rsidRDefault="00C942AA" w:rsidP="008C489D">
      <w:pPr>
        <w:rPr>
          <w:noProof/>
          <w:lang w:val="es-CL"/>
        </w:rPr>
      </w:pPr>
      <w:r w:rsidRPr="00771355">
        <w:rPr>
          <w:noProof/>
          <w:lang w:val="es-CL"/>
        </w:rPr>
        <w:t>[</w:t>
      </w:r>
      <w:r w:rsidR="00095302">
        <w:rPr>
          <w:noProof/>
          <w:lang w:val="es-CL"/>
        </w:rPr>
        <w:t>36</w:t>
      </w:r>
      <w:r w:rsidRPr="00771355">
        <w:rPr>
          <w:noProof/>
          <w:lang w:val="es-CL"/>
        </w:rPr>
        <w:t>] Diario Oficial de l</w:t>
      </w:r>
      <w:r>
        <w:rPr>
          <w:noProof/>
          <w:lang w:val="es-CL"/>
        </w:rPr>
        <w:t xml:space="preserve">a Unión Europea L312, 3 de diciembre de 2019, pp. 55-92. Disponible en: </w:t>
      </w:r>
      <w:hyperlink r:id="rId36" w:history="1">
        <w:r w:rsidRPr="00FE1947">
          <w:rPr>
            <w:rStyle w:val="Hipervnculo"/>
            <w:noProof/>
            <w:lang w:val="es-CL"/>
          </w:rPr>
          <w:t>https://eur-lex.europa.eu/search.html?scope=EURLEX&amp;text=2019%2F2010&amp;lang=es&amp;type=quick&amp;qid=1659825967208</w:t>
        </w:r>
      </w:hyperlink>
    </w:p>
    <w:p w14:paraId="5520C1B1" w14:textId="5BD3BA73" w:rsidR="0065560D" w:rsidRDefault="0065560D" w:rsidP="008C489D">
      <w:pPr>
        <w:rPr>
          <w:noProof/>
          <w:lang w:val="es-CL"/>
        </w:rPr>
      </w:pPr>
    </w:p>
    <w:p w14:paraId="0D1C763A" w14:textId="41085FFF" w:rsidR="004863CC" w:rsidRPr="005F50C6" w:rsidRDefault="004863CC" w:rsidP="00D60CBD">
      <w:pPr>
        <w:jc w:val="left"/>
        <w:rPr>
          <w:noProof/>
          <w:lang w:val="es-CL"/>
        </w:rPr>
      </w:pPr>
      <w:r w:rsidRPr="005D7DA4">
        <w:rPr>
          <w:noProof/>
          <w:lang w:val="en-US"/>
        </w:rPr>
        <w:t>[</w:t>
      </w:r>
      <w:r w:rsidR="001A3FAA">
        <w:rPr>
          <w:noProof/>
          <w:lang w:val="en-US"/>
        </w:rPr>
        <w:t>37</w:t>
      </w:r>
      <w:r w:rsidRPr="005D7DA4">
        <w:rPr>
          <w:noProof/>
          <w:lang w:val="en-US"/>
        </w:rPr>
        <w:t>] O. Gohlke, T. Weber, P. Seguin, Y. Labor</w:t>
      </w:r>
      <w:r>
        <w:rPr>
          <w:noProof/>
          <w:lang w:val="en-US"/>
        </w:rPr>
        <w:t xml:space="preserve">el. “A new process for NOx reduction in combustion systems for the generation of energy from waste”. </w:t>
      </w:r>
      <w:r w:rsidRPr="005F50C6">
        <w:rPr>
          <w:i/>
          <w:iCs/>
          <w:noProof/>
          <w:lang w:val="es-CL"/>
        </w:rPr>
        <w:t>Waste Management</w:t>
      </w:r>
      <w:r w:rsidRPr="005F50C6">
        <w:rPr>
          <w:noProof/>
          <w:lang w:val="es-CL"/>
        </w:rPr>
        <w:t>, vol. 30, n.°7, pp. 1348-1354, 2010. Disponible en: https://www.sciencedirect.com/science/article/pii/S0956053X10001108</w:t>
      </w:r>
    </w:p>
    <w:p w14:paraId="64A4ABCF" w14:textId="1C6022D5" w:rsidR="004863CC" w:rsidRPr="005F50C6" w:rsidRDefault="004863CC" w:rsidP="008C489D">
      <w:pPr>
        <w:rPr>
          <w:noProof/>
          <w:lang w:val="es-CL"/>
        </w:rPr>
      </w:pPr>
    </w:p>
    <w:p w14:paraId="0D004C46" w14:textId="48368BC2" w:rsidR="00682151" w:rsidRDefault="004863CC" w:rsidP="00FB73A9">
      <w:pPr>
        <w:rPr>
          <w:noProof/>
          <w:lang w:val="es-ES"/>
        </w:rPr>
      </w:pPr>
      <w:r w:rsidRPr="00865C05">
        <w:rPr>
          <w:noProof/>
          <w:lang w:val="es-ES"/>
        </w:rPr>
        <w:t>[</w:t>
      </w:r>
      <w:r w:rsidR="0031126D">
        <w:rPr>
          <w:noProof/>
          <w:lang w:val="es-ES"/>
        </w:rPr>
        <w:t>38</w:t>
      </w:r>
      <w:r w:rsidRPr="00865C05">
        <w:rPr>
          <w:noProof/>
          <w:lang w:val="es-ES"/>
        </w:rPr>
        <w:t xml:space="preserve">] </w:t>
      </w:r>
      <w:r w:rsidR="005C0B56" w:rsidRPr="00865C05">
        <w:rPr>
          <w:noProof/>
          <w:lang w:val="es-ES"/>
        </w:rPr>
        <w:t>Directiva 2008/98/</w:t>
      </w:r>
      <w:r w:rsidR="00865C05" w:rsidRPr="00865C05">
        <w:rPr>
          <w:noProof/>
          <w:lang w:val="es-ES"/>
        </w:rPr>
        <w:t>CE del P</w:t>
      </w:r>
      <w:r w:rsidR="00865C05">
        <w:rPr>
          <w:noProof/>
          <w:lang w:val="es-ES"/>
        </w:rPr>
        <w:t>arlamento Europeo y del Consejo de 19 de noviembre de 2008</w:t>
      </w:r>
      <w:r w:rsidR="00D60CBD">
        <w:rPr>
          <w:noProof/>
          <w:lang w:val="es-ES"/>
        </w:rPr>
        <w:t xml:space="preserve"> </w:t>
      </w:r>
      <w:r w:rsidR="00B960E7">
        <w:rPr>
          <w:noProof/>
          <w:lang w:val="es-ES"/>
        </w:rPr>
        <w:t>sobre los residuos</w:t>
      </w:r>
      <w:r w:rsidR="00F72642">
        <w:rPr>
          <w:noProof/>
          <w:lang w:val="es-ES"/>
        </w:rPr>
        <w:t xml:space="preserve"> y por la que se derogan determinadas directivas </w:t>
      </w:r>
      <w:r w:rsidR="00D60CBD">
        <w:rPr>
          <w:noProof/>
          <w:lang w:val="es-ES"/>
        </w:rPr>
        <w:t xml:space="preserve">[en línea]. Disponible en: </w:t>
      </w:r>
      <w:hyperlink r:id="rId37" w:history="1">
        <w:r w:rsidR="00682151" w:rsidRPr="00AF2F24">
          <w:rPr>
            <w:rStyle w:val="Hipervnculo"/>
            <w:noProof/>
            <w:lang w:val="es-ES"/>
          </w:rPr>
          <w:t>https://www.boe.es/buscar/doc.php?id=DOUE-L-2008-81053</w:t>
        </w:r>
      </w:hyperlink>
    </w:p>
    <w:sectPr w:rsidR="00682151"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904B" w14:textId="77777777" w:rsidR="00125D4B" w:rsidRDefault="00125D4B" w:rsidP="00FB73A9">
      <w:r>
        <w:separator/>
      </w:r>
    </w:p>
  </w:endnote>
  <w:endnote w:type="continuationSeparator" w:id="0">
    <w:p w14:paraId="4026665A" w14:textId="77777777" w:rsidR="00125D4B" w:rsidRDefault="00125D4B" w:rsidP="00FB73A9">
      <w:r>
        <w:continuationSeparator/>
      </w:r>
    </w:p>
  </w:endnote>
  <w:endnote w:type="continuationNotice" w:id="1">
    <w:p w14:paraId="2F3AFE50" w14:textId="77777777" w:rsidR="00125D4B" w:rsidRDefault="00125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9EC7" w14:textId="77777777" w:rsidR="00125D4B" w:rsidRDefault="00125D4B" w:rsidP="00FB73A9">
      <w:r>
        <w:separator/>
      </w:r>
    </w:p>
  </w:footnote>
  <w:footnote w:type="continuationSeparator" w:id="0">
    <w:p w14:paraId="4C63C1CA" w14:textId="77777777" w:rsidR="00125D4B" w:rsidRDefault="00125D4B" w:rsidP="00FB73A9">
      <w:r>
        <w:continuationSeparator/>
      </w:r>
    </w:p>
  </w:footnote>
  <w:footnote w:type="continuationNotice" w:id="1">
    <w:p w14:paraId="7E4052DA" w14:textId="77777777" w:rsidR="00125D4B" w:rsidRDefault="00125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FAFF" w14:textId="5E21F354"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8240"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D452D6" w:rsidP="00FB73A9">
    <w:pPr>
      <w:pStyle w:val="Encabezado"/>
      <w:rPr>
        <w:rFonts w:ascii="Square721 Cn BT" w:hAnsi="Square721 Cn B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8241" behindDoc="0" locked="0" layoutInCell="1" allowOverlap="1" wp14:anchorId="57B69813" wp14:editId="660B238B">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50872779" w14:textId="742FB50F" w:rsidR="00D452D6" w:rsidRPr="00FB73A9" w:rsidRDefault="00D452D6" w:rsidP="00FB73A9">
                          <w:pPr>
                            <w:rPr>
                              <w:sz w:val="16"/>
                              <w:szCs w:val="16"/>
                            </w:rPr>
                          </w:pPr>
                          <w:r w:rsidRPr="00FB73A9">
                            <w:rPr>
                              <w:sz w:val="16"/>
                              <w:szCs w:val="16"/>
                            </w:rPr>
                            <w:t xml:space="preserve">Título en el idioma </w:t>
                          </w:r>
                          <w:r w:rsidR="00712689">
                            <w:rPr>
                              <w:sz w:val="16"/>
                              <w:szCs w:val="16"/>
                            </w:rPr>
                            <w:t xml:space="preserve">en </w:t>
                          </w:r>
                          <w:r w:rsidRPr="00FB73A9">
                            <w:rPr>
                              <w:sz w:val="16"/>
                              <w:szCs w:val="16"/>
                            </w:rPr>
                            <w:t>que se presenta el artículo (debe ser igual al del encabezado)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7" type="#_x0000_t202" style="position:absolute;left:0;text-align:left;margin-left:-7.15pt;margin-top:-1.7pt;width:363.3pt;height:20.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EAIAAP0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" stroked="f">
              <v:textbox>
                <w:txbxContent>
                  <w:p w14:paraId="50872779" w14:textId="742FB50F" w:rsidR="00D452D6" w:rsidRPr="00FB73A9" w:rsidRDefault="00D452D6" w:rsidP="00FB73A9">
                    <w:pPr>
                      <w:rPr>
                        <w:sz w:val="16"/>
                        <w:szCs w:val="16"/>
                      </w:rPr>
                    </w:pPr>
                    <w:r w:rsidRPr="00FB73A9">
                      <w:rPr>
                        <w:sz w:val="16"/>
                        <w:szCs w:val="16"/>
                      </w:rPr>
                      <w:t xml:space="preserve">Título en el idioma </w:t>
                    </w:r>
                    <w:r w:rsidR="00712689">
                      <w:rPr>
                        <w:sz w:val="16"/>
                        <w:szCs w:val="16"/>
                      </w:rPr>
                      <w:t xml:space="preserve">en </w:t>
                    </w:r>
                    <w:r w:rsidRPr="00FB73A9">
                      <w:rPr>
                        <w:sz w:val="16"/>
                        <w:szCs w:val="16"/>
                      </w:rPr>
                      <w:t>que se presenta el artículo (debe ser igual al del encabezado)</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58243"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r w:rsidR="00744D7B" w:rsidRPr="00F61111">
      <w:rPr>
        <w:rFonts w:cs="Times New Roman"/>
        <w:color w:val="003B68"/>
      </w:rPr>
      <w:t>Congresso Ibero-</w:t>
    </w:r>
    <w:r w:rsidR="005713F2" w:rsidRPr="00F61111">
      <w:rPr>
        <w:rFonts w:cs="Times New Roman"/>
        <w:color w:val="003B68"/>
      </w:rPr>
      <w:t>a</w:t>
    </w:r>
    <w:r w:rsidR="00744D7B" w:rsidRPr="00F61111">
      <w:rPr>
        <w:rFonts w:cs="Times New Roman"/>
        <w:color w:val="003B68"/>
      </w:rPr>
      <w:t>mericano de Engenharia Mecânica</w:t>
    </w:r>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5824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C9CA3D2">
            <v:line id="Straight Connector 251"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005392" strokeweight="1pt" from="0,19.95pt" to="453.55pt,20.65pt" w14:anchorId="3E63E5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intelligence2.xml><?xml version="1.0" encoding="utf-8"?>
<int2:intelligence xmlns:int2="http://schemas.microsoft.com/office/intelligence/2020/intelligence" xmlns:oel="http://schemas.microsoft.com/office/2019/extlst">
  <int2:observations>
    <int2:bookmark int2:bookmarkName="_Int_uyWzv4Yn" int2:invalidationBookmarkName="" int2:hashCode="qBdzKyp8L2WGNQ" int2:id="iQtb2tZ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571235412">
    <w:abstractNumId w:val="4"/>
  </w:num>
  <w:num w:numId="2" w16cid:durableId="317153997">
    <w:abstractNumId w:val="15"/>
  </w:num>
  <w:num w:numId="3" w16cid:durableId="1018890354">
    <w:abstractNumId w:val="9"/>
  </w:num>
  <w:num w:numId="4" w16cid:durableId="221908361">
    <w:abstractNumId w:val="2"/>
  </w:num>
  <w:num w:numId="5" w16cid:durableId="711081567">
    <w:abstractNumId w:val="0"/>
  </w:num>
  <w:num w:numId="6" w16cid:durableId="661935652">
    <w:abstractNumId w:val="13"/>
  </w:num>
  <w:num w:numId="7" w16cid:durableId="658581822">
    <w:abstractNumId w:val="10"/>
  </w:num>
  <w:num w:numId="8" w16cid:durableId="2109499029">
    <w:abstractNumId w:val="11"/>
  </w:num>
  <w:num w:numId="9" w16cid:durableId="1946956706">
    <w:abstractNumId w:val="14"/>
  </w:num>
  <w:num w:numId="10" w16cid:durableId="1464352216">
    <w:abstractNumId w:val="1"/>
  </w:num>
  <w:num w:numId="11" w16cid:durableId="1225877101">
    <w:abstractNumId w:val="3"/>
  </w:num>
  <w:num w:numId="12" w16cid:durableId="1209681061">
    <w:abstractNumId w:val="6"/>
  </w:num>
  <w:num w:numId="13" w16cid:durableId="210921813">
    <w:abstractNumId w:val="12"/>
  </w:num>
  <w:num w:numId="14" w16cid:durableId="544682069">
    <w:abstractNumId w:val="7"/>
  </w:num>
  <w:num w:numId="15" w16cid:durableId="1952086162">
    <w:abstractNumId w:val="5"/>
  </w:num>
  <w:num w:numId="16" w16cid:durableId="624383332">
    <w:abstractNumId w:val="8"/>
  </w:num>
  <w:num w:numId="17" w16cid:durableId="1084032488">
    <w:abstractNumId w:val="15"/>
  </w:num>
  <w:num w:numId="18" w16cid:durableId="1369600586">
    <w:abstractNumId w:val="15"/>
  </w:num>
  <w:num w:numId="19" w16cid:durableId="946154545">
    <w:abstractNumId w:val="15"/>
  </w:num>
  <w:num w:numId="20" w16cid:durableId="1613977885">
    <w:abstractNumId w:val="15"/>
  </w:num>
  <w:num w:numId="21" w16cid:durableId="1568687918">
    <w:abstractNumId w:val="15"/>
  </w:num>
  <w:num w:numId="22" w16cid:durableId="190385139">
    <w:abstractNumId w:val="15"/>
  </w:num>
  <w:num w:numId="23" w16cid:durableId="321010598">
    <w:abstractNumId w:val="15"/>
  </w:num>
  <w:num w:numId="24" w16cid:durableId="959190590">
    <w:abstractNumId w:val="15"/>
  </w:num>
  <w:num w:numId="25" w16cid:durableId="2036610239">
    <w:abstractNumId w:val="15"/>
  </w:num>
  <w:num w:numId="26" w16cid:durableId="34549323">
    <w:abstractNumId w:val="15"/>
  </w:num>
  <w:num w:numId="27" w16cid:durableId="1517184833">
    <w:abstractNumId w:val="15"/>
  </w:num>
  <w:num w:numId="28" w16cid:durableId="572928737">
    <w:abstractNumId w:val="15"/>
  </w:num>
  <w:num w:numId="29" w16cid:durableId="88891341">
    <w:abstractNumId w:val="15"/>
  </w:num>
  <w:num w:numId="30" w16cid:durableId="9131967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134"/>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01EE"/>
    <w:rsid w:val="000008BA"/>
    <w:rsid w:val="000008D7"/>
    <w:rsid w:val="000015A9"/>
    <w:rsid w:val="00001CFE"/>
    <w:rsid w:val="00002091"/>
    <w:rsid w:val="00002DF3"/>
    <w:rsid w:val="00003648"/>
    <w:rsid w:val="00003AE5"/>
    <w:rsid w:val="00003C7C"/>
    <w:rsid w:val="00003E14"/>
    <w:rsid w:val="00004BB1"/>
    <w:rsid w:val="00005864"/>
    <w:rsid w:val="000079AE"/>
    <w:rsid w:val="00007A17"/>
    <w:rsid w:val="00007A5B"/>
    <w:rsid w:val="00010BB3"/>
    <w:rsid w:val="00010FE4"/>
    <w:rsid w:val="00011AE9"/>
    <w:rsid w:val="0001220B"/>
    <w:rsid w:val="000137F5"/>
    <w:rsid w:val="0001402F"/>
    <w:rsid w:val="00014332"/>
    <w:rsid w:val="00015C83"/>
    <w:rsid w:val="00016497"/>
    <w:rsid w:val="000166CA"/>
    <w:rsid w:val="0001711F"/>
    <w:rsid w:val="00017974"/>
    <w:rsid w:val="00020428"/>
    <w:rsid w:val="000213C7"/>
    <w:rsid w:val="000218A6"/>
    <w:rsid w:val="0002247E"/>
    <w:rsid w:val="00022CBD"/>
    <w:rsid w:val="00022DB1"/>
    <w:rsid w:val="0002595A"/>
    <w:rsid w:val="00027323"/>
    <w:rsid w:val="00027798"/>
    <w:rsid w:val="0003024C"/>
    <w:rsid w:val="00030A29"/>
    <w:rsid w:val="000312B6"/>
    <w:rsid w:val="000316BA"/>
    <w:rsid w:val="00031853"/>
    <w:rsid w:val="00031C87"/>
    <w:rsid w:val="00032799"/>
    <w:rsid w:val="00032901"/>
    <w:rsid w:val="00032B54"/>
    <w:rsid w:val="00032E60"/>
    <w:rsid w:val="000332CE"/>
    <w:rsid w:val="00033467"/>
    <w:rsid w:val="00035211"/>
    <w:rsid w:val="000360A9"/>
    <w:rsid w:val="000369B9"/>
    <w:rsid w:val="00036A30"/>
    <w:rsid w:val="00036D03"/>
    <w:rsid w:val="00036D1F"/>
    <w:rsid w:val="0003746F"/>
    <w:rsid w:val="00037E57"/>
    <w:rsid w:val="0004023C"/>
    <w:rsid w:val="00040CA7"/>
    <w:rsid w:val="00042176"/>
    <w:rsid w:val="00042D6A"/>
    <w:rsid w:val="00042EDC"/>
    <w:rsid w:val="00044426"/>
    <w:rsid w:val="00044CEB"/>
    <w:rsid w:val="00045439"/>
    <w:rsid w:val="00046495"/>
    <w:rsid w:val="000476F1"/>
    <w:rsid w:val="00047B76"/>
    <w:rsid w:val="000500AD"/>
    <w:rsid w:val="00052129"/>
    <w:rsid w:val="00053BB0"/>
    <w:rsid w:val="00053C29"/>
    <w:rsid w:val="000552A0"/>
    <w:rsid w:val="000558A7"/>
    <w:rsid w:val="00055977"/>
    <w:rsid w:val="00055B0B"/>
    <w:rsid w:val="0005693D"/>
    <w:rsid w:val="00056D81"/>
    <w:rsid w:val="00057EBC"/>
    <w:rsid w:val="00057FB9"/>
    <w:rsid w:val="000602E8"/>
    <w:rsid w:val="00060941"/>
    <w:rsid w:val="0006132F"/>
    <w:rsid w:val="00061785"/>
    <w:rsid w:val="000625C2"/>
    <w:rsid w:val="0006278B"/>
    <w:rsid w:val="0006284B"/>
    <w:rsid w:val="00063DED"/>
    <w:rsid w:val="00064087"/>
    <w:rsid w:val="0006479D"/>
    <w:rsid w:val="00064BE2"/>
    <w:rsid w:val="00064CB5"/>
    <w:rsid w:val="0006594F"/>
    <w:rsid w:val="00065E68"/>
    <w:rsid w:val="00066CE2"/>
    <w:rsid w:val="0006789D"/>
    <w:rsid w:val="00067B58"/>
    <w:rsid w:val="00067C6F"/>
    <w:rsid w:val="00067D2E"/>
    <w:rsid w:val="000708A5"/>
    <w:rsid w:val="00070BBD"/>
    <w:rsid w:val="00071333"/>
    <w:rsid w:val="000716C7"/>
    <w:rsid w:val="00072963"/>
    <w:rsid w:val="00073649"/>
    <w:rsid w:val="000744B0"/>
    <w:rsid w:val="00074639"/>
    <w:rsid w:val="00075078"/>
    <w:rsid w:val="000754E5"/>
    <w:rsid w:val="00075C38"/>
    <w:rsid w:val="00075D35"/>
    <w:rsid w:val="00075D88"/>
    <w:rsid w:val="00075F3B"/>
    <w:rsid w:val="0007737A"/>
    <w:rsid w:val="000775B7"/>
    <w:rsid w:val="00080E70"/>
    <w:rsid w:val="0008172E"/>
    <w:rsid w:val="00081DD1"/>
    <w:rsid w:val="00082F23"/>
    <w:rsid w:val="00083FB8"/>
    <w:rsid w:val="00085059"/>
    <w:rsid w:val="00086C6F"/>
    <w:rsid w:val="00087072"/>
    <w:rsid w:val="00087D48"/>
    <w:rsid w:val="00090264"/>
    <w:rsid w:val="000902AC"/>
    <w:rsid w:val="0009075B"/>
    <w:rsid w:val="000912C7"/>
    <w:rsid w:val="00091697"/>
    <w:rsid w:val="00091E52"/>
    <w:rsid w:val="000921B2"/>
    <w:rsid w:val="00093A07"/>
    <w:rsid w:val="00093A7A"/>
    <w:rsid w:val="00093E80"/>
    <w:rsid w:val="00095302"/>
    <w:rsid w:val="00095786"/>
    <w:rsid w:val="00095866"/>
    <w:rsid w:val="0009613D"/>
    <w:rsid w:val="00096456"/>
    <w:rsid w:val="0009692D"/>
    <w:rsid w:val="00096B7B"/>
    <w:rsid w:val="000A0C29"/>
    <w:rsid w:val="000A0E28"/>
    <w:rsid w:val="000A15AB"/>
    <w:rsid w:val="000A2FBA"/>
    <w:rsid w:val="000A3216"/>
    <w:rsid w:val="000A3371"/>
    <w:rsid w:val="000A33F3"/>
    <w:rsid w:val="000A3AFD"/>
    <w:rsid w:val="000A4823"/>
    <w:rsid w:val="000A4EB5"/>
    <w:rsid w:val="000A5116"/>
    <w:rsid w:val="000A5384"/>
    <w:rsid w:val="000A5805"/>
    <w:rsid w:val="000A6616"/>
    <w:rsid w:val="000A7DCB"/>
    <w:rsid w:val="000B0191"/>
    <w:rsid w:val="000B11AB"/>
    <w:rsid w:val="000B139B"/>
    <w:rsid w:val="000B19A6"/>
    <w:rsid w:val="000B2E24"/>
    <w:rsid w:val="000B36BF"/>
    <w:rsid w:val="000B3DC1"/>
    <w:rsid w:val="000B3FB0"/>
    <w:rsid w:val="000B42FA"/>
    <w:rsid w:val="000B4A77"/>
    <w:rsid w:val="000B4EFF"/>
    <w:rsid w:val="000B5389"/>
    <w:rsid w:val="000B5BEB"/>
    <w:rsid w:val="000B637F"/>
    <w:rsid w:val="000B6671"/>
    <w:rsid w:val="000B7C9A"/>
    <w:rsid w:val="000C0503"/>
    <w:rsid w:val="000C0A54"/>
    <w:rsid w:val="000C0C16"/>
    <w:rsid w:val="000C0DF2"/>
    <w:rsid w:val="000C13FB"/>
    <w:rsid w:val="000C18DC"/>
    <w:rsid w:val="000C2831"/>
    <w:rsid w:val="000C2EB0"/>
    <w:rsid w:val="000C36F5"/>
    <w:rsid w:val="000C37F7"/>
    <w:rsid w:val="000C4C3E"/>
    <w:rsid w:val="000C5232"/>
    <w:rsid w:val="000C562D"/>
    <w:rsid w:val="000C57D3"/>
    <w:rsid w:val="000C6BB4"/>
    <w:rsid w:val="000C7C27"/>
    <w:rsid w:val="000C7DFF"/>
    <w:rsid w:val="000C7F71"/>
    <w:rsid w:val="000D24DD"/>
    <w:rsid w:val="000D2AA6"/>
    <w:rsid w:val="000D2B08"/>
    <w:rsid w:val="000D2DDB"/>
    <w:rsid w:val="000D2F73"/>
    <w:rsid w:val="000D3915"/>
    <w:rsid w:val="000D42E4"/>
    <w:rsid w:val="000D4F8F"/>
    <w:rsid w:val="000D5353"/>
    <w:rsid w:val="000D560A"/>
    <w:rsid w:val="000D5F99"/>
    <w:rsid w:val="000D60DB"/>
    <w:rsid w:val="000D6414"/>
    <w:rsid w:val="000D6782"/>
    <w:rsid w:val="000D6CBC"/>
    <w:rsid w:val="000D6E58"/>
    <w:rsid w:val="000D7F8F"/>
    <w:rsid w:val="000E02FA"/>
    <w:rsid w:val="000E0955"/>
    <w:rsid w:val="000E0D45"/>
    <w:rsid w:val="000E10B6"/>
    <w:rsid w:val="000E1AD8"/>
    <w:rsid w:val="000E1B09"/>
    <w:rsid w:val="000E2927"/>
    <w:rsid w:val="000E2953"/>
    <w:rsid w:val="000E2E7F"/>
    <w:rsid w:val="000E39A2"/>
    <w:rsid w:val="000E4CDB"/>
    <w:rsid w:val="000E4D6D"/>
    <w:rsid w:val="000E65EF"/>
    <w:rsid w:val="000E66D7"/>
    <w:rsid w:val="000E6A0C"/>
    <w:rsid w:val="000E7C17"/>
    <w:rsid w:val="000F1AD3"/>
    <w:rsid w:val="000F441C"/>
    <w:rsid w:val="000F4796"/>
    <w:rsid w:val="000F47A5"/>
    <w:rsid w:val="000F4DFA"/>
    <w:rsid w:val="000F554B"/>
    <w:rsid w:val="000F5EA5"/>
    <w:rsid w:val="000F5FF3"/>
    <w:rsid w:val="000F711C"/>
    <w:rsid w:val="000F743A"/>
    <w:rsid w:val="000F76E4"/>
    <w:rsid w:val="000F7CEA"/>
    <w:rsid w:val="00100102"/>
    <w:rsid w:val="00102162"/>
    <w:rsid w:val="00102377"/>
    <w:rsid w:val="00104272"/>
    <w:rsid w:val="00105214"/>
    <w:rsid w:val="00107217"/>
    <w:rsid w:val="00107745"/>
    <w:rsid w:val="00110065"/>
    <w:rsid w:val="001111A1"/>
    <w:rsid w:val="001111E4"/>
    <w:rsid w:val="00114CA7"/>
    <w:rsid w:val="001162E9"/>
    <w:rsid w:val="00117AB9"/>
    <w:rsid w:val="001204E9"/>
    <w:rsid w:val="00122117"/>
    <w:rsid w:val="001239CE"/>
    <w:rsid w:val="00123B30"/>
    <w:rsid w:val="00123F68"/>
    <w:rsid w:val="0012442A"/>
    <w:rsid w:val="00124F8A"/>
    <w:rsid w:val="00125D4B"/>
    <w:rsid w:val="00126035"/>
    <w:rsid w:val="00126351"/>
    <w:rsid w:val="001265F3"/>
    <w:rsid w:val="001301C1"/>
    <w:rsid w:val="00130DAE"/>
    <w:rsid w:val="00131062"/>
    <w:rsid w:val="00131188"/>
    <w:rsid w:val="00131451"/>
    <w:rsid w:val="00131D4D"/>
    <w:rsid w:val="001322EC"/>
    <w:rsid w:val="0013311D"/>
    <w:rsid w:val="001334FD"/>
    <w:rsid w:val="0013474D"/>
    <w:rsid w:val="00134838"/>
    <w:rsid w:val="00134F3D"/>
    <w:rsid w:val="001355C1"/>
    <w:rsid w:val="00136A5C"/>
    <w:rsid w:val="0013750E"/>
    <w:rsid w:val="00137B95"/>
    <w:rsid w:val="00140025"/>
    <w:rsid w:val="001401A3"/>
    <w:rsid w:val="00140DFC"/>
    <w:rsid w:val="00141144"/>
    <w:rsid w:val="00141A33"/>
    <w:rsid w:val="00141A41"/>
    <w:rsid w:val="001433A3"/>
    <w:rsid w:val="001439A7"/>
    <w:rsid w:val="00143A2B"/>
    <w:rsid w:val="00146274"/>
    <w:rsid w:val="0014785D"/>
    <w:rsid w:val="00150E9B"/>
    <w:rsid w:val="001527C0"/>
    <w:rsid w:val="00152E04"/>
    <w:rsid w:val="001532DE"/>
    <w:rsid w:val="00153868"/>
    <w:rsid w:val="00153CD8"/>
    <w:rsid w:val="00153D4E"/>
    <w:rsid w:val="00154F28"/>
    <w:rsid w:val="00156538"/>
    <w:rsid w:val="001566C3"/>
    <w:rsid w:val="00157054"/>
    <w:rsid w:val="00157065"/>
    <w:rsid w:val="001575AE"/>
    <w:rsid w:val="00157756"/>
    <w:rsid w:val="00161A2A"/>
    <w:rsid w:val="00162073"/>
    <w:rsid w:val="0016232A"/>
    <w:rsid w:val="0016248C"/>
    <w:rsid w:val="00162587"/>
    <w:rsid w:val="001630AD"/>
    <w:rsid w:val="00163433"/>
    <w:rsid w:val="00163741"/>
    <w:rsid w:val="00164C6B"/>
    <w:rsid w:val="001655D9"/>
    <w:rsid w:val="001657E3"/>
    <w:rsid w:val="001664BD"/>
    <w:rsid w:val="001666C5"/>
    <w:rsid w:val="0016676F"/>
    <w:rsid w:val="00166832"/>
    <w:rsid w:val="00166AF3"/>
    <w:rsid w:val="00166F5A"/>
    <w:rsid w:val="00167374"/>
    <w:rsid w:val="0016767F"/>
    <w:rsid w:val="001707A9"/>
    <w:rsid w:val="00170AEE"/>
    <w:rsid w:val="0017204D"/>
    <w:rsid w:val="001721F3"/>
    <w:rsid w:val="001749F7"/>
    <w:rsid w:val="00175C04"/>
    <w:rsid w:val="001768B8"/>
    <w:rsid w:val="00177D9C"/>
    <w:rsid w:val="001802E8"/>
    <w:rsid w:val="001805DC"/>
    <w:rsid w:val="0018094E"/>
    <w:rsid w:val="001809F7"/>
    <w:rsid w:val="00181597"/>
    <w:rsid w:val="00181EB5"/>
    <w:rsid w:val="001828FB"/>
    <w:rsid w:val="001839EB"/>
    <w:rsid w:val="00183D64"/>
    <w:rsid w:val="001847B8"/>
    <w:rsid w:val="001851B6"/>
    <w:rsid w:val="00186E57"/>
    <w:rsid w:val="0019113A"/>
    <w:rsid w:val="00191B64"/>
    <w:rsid w:val="0019239E"/>
    <w:rsid w:val="00192C61"/>
    <w:rsid w:val="00193E1D"/>
    <w:rsid w:val="001951AE"/>
    <w:rsid w:val="00195B3A"/>
    <w:rsid w:val="00195C7E"/>
    <w:rsid w:val="00195CB7"/>
    <w:rsid w:val="00196095"/>
    <w:rsid w:val="00196EB4"/>
    <w:rsid w:val="001A07C8"/>
    <w:rsid w:val="001A15FF"/>
    <w:rsid w:val="001A2807"/>
    <w:rsid w:val="001A2889"/>
    <w:rsid w:val="001A2CBE"/>
    <w:rsid w:val="001A3684"/>
    <w:rsid w:val="001A370D"/>
    <w:rsid w:val="001A3FAA"/>
    <w:rsid w:val="001A484A"/>
    <w:rsid w:val="001A4870"/>
    <w:rsid w:val="001A4B14"/>
    <w:rsid w:val="001A4B56"/>
    <w:rsid w:val="001A55D6"/>
    <w:rsid w:val="001A5993"/>
    <w:rsid w:val="001A5A48"/>
    <w:rsid w:val="001A5CC9"/>
    <w:rsid w:val="001A6ED5"/>
    <w:rsid w:val="001A6FB4"/>
    <w:rsid w:val="001A7969"/>
    <w:rsid w:val="001B035B"/>
    <w:rsid w:val="001B07D6"/>
    <w:rsid w:val="001B08EE"/>
    <w:rsid w:val="001B24D5"/>
    <w:rsid w:val="001B2778"/>
    <w:rsid w:val="001B33D4"/>
    <w:rsid w:val="001B38EF"/>
    <w:rsid w:val="001B3E3C"/>
    <w:rsid w:val="001B42E5"/>
    <w:rsid w:val="001B4516"/>
    <w:rsid w:val="001B523C"/>
    <w:rsid w:val="001B7C06"/>
    <w:rsid w:val="001C0A9C"/>
    <w:rsid w:val="001C18F3"/>
    <w:rsid w:val="001C263D"/>
    <w:rsid w:val="001C295A"/>
    <w:rsid w:val="001C47BE"/>
    <w:rsid w:val="001C490B"/>
    <w:rsid w:val="001C4A26"/>
    <w:rsid w:val="001C561C"/>
    <w:rsid w:val="001C5A7C"/>
    <w:rsid w:val="001C5C84"/>
    <w:rsid w:val="001C6701"/>
    <w:rsid w:val="001C6EDD"/>
    <w:rsid w:val="001C70F7"/>
    <w:rsid w:val="001D02FD"/>
    <w:rsid w:val="001D1D38"/>
    <w:rsid w:val="001D2923"/>
    <w:rsid w:val="001D2C8F"/>
    <w:rsid w:val="001D2E14"/>
    <w:rsid w:val="001D35CA"/>
    <w:rsid w:val="001D362E"/>
    <w:rsid w:val="001D3DE5"/>
    <w:rsid w:val="001D498F"/>
    <w:rsid w:val="001D523D"/>
    <w:rsid w:val="001D6032"/>
    <w:rsid w:val="001D694E"/>
    <w:rsid w:val="001D7A3C"/>
    <w:rsid w:val="001D7E17"/>
    <w:rsid w:val="001E05AD"/>
    <w:rsid w:val="001E0D80"/>
    <w:rsid w:val="001E1AC0"/>
    <w:rsid w:val="001E2007"/>
    <w:rsid w:val="001E34F8"/>
    <w:rsid w:val="001E37E7"/>
    <w:rsid w:val="001E6AD2"/>
    <w:rsid w:val="001E7075"/>
    <w:rsid w:val="001E7B17"/>
    <w:rsid w:val="001F0B66"/>
    <w:rsid w:val="001F17B2"/>
    <w:rsid w:val="001F2227"/>
    <w:rsid w:val="001F2CDA"/>
    <w:rsid w:val="001F2D9B"/>
    <w:rsid w:val="001F3832"/>
    <w:rsid w:val="001F4A90"/>
    <w:rsid w:val="001F53CA"/>
    <w:rsid w:val="001F549D"/>
    <w:rsid w:val="001F6ABA"/>
    <w:rsid w:val="001F7EEF"/>
    <w:rsid w:val="00200942"/>
    <w:rsid w:val="00200E44"/>
    <w:rsid w:val="002017F2"/>
    <w:rsid w:val="00202BA3"/>
    <w:rsid w:val="00203265"/>
    <w:rsid w:val="0020381E"/>
    <w:rsid w:val="00203934"/>
    <w:rsid w:val="00204B3B"/>
    <w:rsid w:val="00204F0C"/>
    <w:rsid w:val="00205714"/>
    <w:rsid w:val="002073D4"/>
    <w:rsid w:val="00207532"/>
    <w:rsid w:val="00210C9C"/>
    <w:rsid w:val="00211049"/>
    <w:rsid w:val="00211EFE"/>
    <w:rsid w:val="002120E2"/>
    <w:rsid w:val="002125B0"/>
    <w:rsid w:val="00212EF9"/>
    <w:rsid w:val="00213010"/>
    <w:rsid w:val="002136F2"/>
    <w:rsid w:val="0021446C"/>
    <w:rsid w:val="002144CB"/>
    <w:rsid w:val="00215040"/>
    <w:rsid w:val="00217451"/>
    <w:rsid w:val="00217FCE"/>
    <w:rsid w:val="00220E74"/>
    <w:rsid w:val="00221996"/>
    <w:rsid w:val="00222251"/>
    <w:rsid w:val="00222D97"/>
    <w:rsid w:val="00223044"/>
    <w:rsid w:val="002241EC"/>
    <w:rsid w:val="00225B95"/>
    <w:rsid w:val="00227F35"/>
    <w:rsid w:val="002309F5"/>
    <w:rsid w:val="00230B11"/>
    <w:rsid w:val="002321FD"/>
    <w:rsid w:val="00232BA6"/>
    <w:rsid w:val="00232C56"/>
    <w:rsid w:val="00233229"/>
    <w:rsid w:val="002335B1"/>
    <w:rsid w:val="002345DE"/>
    <w:rsid w:val="002347AD"/>
    <w:rsid w:val="00235770"/>
    <w:rsid w:val="0023636F"/>
    <w:rsid w:val="00236A46"/>
    <w:rsid w:val="002379A9"/>
    <w:rsid w:val="00237C92"/>
    <w:rsid w:val="00240750"/>
    <w:rsid w:val="00240A3D"/>
    <w:rsid w:val="0024166B"/>
    <w:rsid w:val="00242598"/>
    <w:rsid w:val="00242716"/>
    <w:rsid w:val="00243026"/>
    <w:rsid w:val="002439A9"/>
    <w:rsid w:val="00243E02"/>
    <w:rsid w:val="0024437F"/>
    <w:rsid w:val="00244676"/>
    <w:rsid w:val="00246526"/>
    <w:rsid w:val="00246723"/>
    <w:rsid w:val="002503AF"/>
    <w:rsid w:val="002503CB"/>
    <w:rsid w:val="002513AC"/>
    <w:rsid w:val="002514D5"/>
    <w:rsid w:val="00251F77"/>
    <w:rsid w:val="00252F32"/>
    <w:rsid w:val="002544FD"/>
    <w:rsid w:val="0025459E"/>
    <w:rsid w:val="00254805"/>
    <w:rsid w:val="00255386"/>
    <w:rsid w:val="00255A10"/>
    <w:rsid w:val="00255C26"/>
    <w:rsid w:val="00256058"/>
    <w:rsid w:val="00257D9A"/>
    <w:rsid w:val="0026150A"/>
    <w:rsid w:val="00261524"/>
    <w:rsid w:val="00262524"/>
    <w:rsid w:val="002638CF"/>
    <w:rsid w:val="00263EAA"/>
    <w:rsid w:val="00263F3E"/>
    <w:rsid w:val="00264366"/>
    <w:rsid w:val="00264726"/>
    <w:rsid w:val="00264A62"/>
    <w:rsid w:val="00264FF1"/>
    <w:rsid w:val="00267BF3"/>
    <w:rsid w:val="00270435"/>
    <w:rsid w:val="00270D49"/>
    <w:rsid w:val="00270DEB"/>
    <w:rsid w:val="0027156C"/>
    <w:rsid w:val="00272103"/>
    <w:rsid w:val="00273AA6"/>
    <w:rsid w:val="0027408B"/>
    <w:rsid w:val="002746ED"/>
    <w:rsid w:val="00274883"/>
    <w:rsid w:val="0027573B"/>
    <w:rsid w:val="002757F1"/>
    <w:rsid w:val="00275A04"/>
    <w:rsid w:val="00275E45"/>
    <w:rsid w:val="002764F7"/>
    <w:rsid w:val="00277CAA"/>
    <w:rsid w:val="00277FE3"/>
    <w:rsid w:val="00282755"/>
    <w:rsid w:val="002828FB"/>
    <w:rsid w:val="00282D9D"/>
    <w:rsid w:val="00283224"/>
    <w:rsid w:val="00283497"/>
    <w:rsid w:val="0028362B"/>
    <w:rsid w:val="0028364A"/>
    <w:rsid w:val="002845A5"/>
    <w:rsid w:val="00284D6A"/>
    <w:rsid w:val="0028711A"/>
    <w:rsid w:val="0028794F"/>
    <w:rsid w:val="00292569"/>
    <w:rsid w:val="002928F5"/>
    <w:rsid w:val="00293F83"/>
    <w:rsid w:val="002942DE"/>
    <w:rsid w:val="0029438E"/>
    <w:rsid w:val="002950E1"/>
    <w:rsid w:val="00295BB6"/>
    <w:rsid w:val="00295F42"/>
    <w:rsid w:val="00296698"/>
    <w:rsid w:val="00296E49"/>
    <w:rsid w:val="00296E4B"/>
    <w:rsid w:val="0029703B"/>
    <w:rsid w:val="00297884"/>
    <w:rsid w:val="00297D70"/>
    <w:rsid w:val="00297F17"/>
    <w:rsid w:val="002A23D6"/>
    <w:rsid w:val="002A262F"/>
    <w:rsid w:val="002A2E5E"/>
    <w:rsid w:val="002A32A1"/>
    <w:rsid w:val="002A47DD"/>
    <w:rsid w:val="002A4FE3"/>
    <w:rsid w:val="002A52B7"/>
    <w:rsid w:val="002A59CF"/>
    <w:rsid w:val="002A5FD4"/>
    <w:rsid w:val="002A6052"/>
    <w:rsid w:val="002A6EEE"/>
    <w:rsid w:val="002A7024"/>
    <w:rsid w:val="002A7A58"/>
    <w:rsid w:val="002A7BDF"/>
    <w:rsid w:val="002B1613"/>
    <w:rsid w:val="002B2E1F"/>
    <w:rsid w:val="002B358B"/>
    <w:rsid w:val="002B4EDE"/>
    <w:rsid w:val="002B4EF0"/>
    <w:rsid w:val="002B5226"/>
    <w:rsid w:val="002B5805"/>
    <w:rsid w:val="002B597A"/>
    <w:rsid w:val="002B5B3F"/>
    <w:rsid w:val="002B5CF1"/>
    <w:rsid w:val="002B5EA7"/>
    <w:rsid w:val="002B615E"/>
    <w:rsid w:val="002B6E76"/>
    <w:rsid w:val="002C0C6E"/>
    <w:rsid w:val="002C0E99"/>
    <w:rsid w:val="002C1421"/>
    <w:rsid w:val="002C1D9A"/>
    <w:rsid w:val="002C24BC"/>
    <w:rsid w:val="002C2C2A"/>
    <w:rsid w:val="002C2D2C"/>
    <w:rsid w:val="002C46E7"/>
    <w:rsid w:val="002C49F2"/>
    <w:rsid w:val="002C4AB4"/>
    <w:rsid w:val="002C52C7"/>
    <w:rsid w:val="002C5868"/>
    <w:rsid w:val="002C7108"/>
    <w:rsid w:val="002C7ABC"/>
    <w:rsid w:val="002D0B45"/>
    <w:rsid w:val="002D133F"/>
    <w:rsid w:val="002D296A"/>
    <w:rsid w:val="002D2BA3"/>
    <w:rsid w:val="002D40E6"/>
    <w:rsid w:val="002D5549"/>
    <w:rsid w:val="002D5912"/>
    <w:rsid w:val="002D5930"/>
    <w:rsid w:val="002D6143"/>
    <w:rsid w:val="002D6396"/>
    <w:rsid w:val="002E0208"/>
    <w:rsid w:val="002E0EC3"/>
    <w:rsid w:val="002E261F"/>
    <w:rsid w:val="002E2C39"/>
    <w:rsid w:val="002E3AE0"/>
    <w:rsid w:val="002E4A53"/>
    <w:rsid w:val="002E5BAC"/>
    <w:rsid w:val="002E5D48"/>
    <w:rsid w:val="002E687C"/>
    <w:rsid w:val="002E73B6"/>
    <w:rsid w:val="002F0158"/>
    <w:rsid w:val="002F0A63"/>
    <w:rsid w:val="002F0F7D"/>
    <w:rsid w:val="002F1494"/>
    <w:rsid w:val="002F1985"/>
    <w:rsid w:val="002F1B7F"/>
    <w:rsid w:val="002F1D00"/>
    <w:rsid w:val="002F2CDF"/>
    <w:rsid w:val="002F3686"/>
    <w:rsid w:val="002F4333"/>
    <w:rsid w:val="002F5983"/>
    <w:rsid w:val="002F6E9C"/>
    <w:rsid w:val="002F6F54"/>
    <w:rsid w:val="0030071D"/>
    <w:rsid w:val="003010FD"/>
    <w:rsid w:val="003021D3"/>
    <w:rsid w:val="0030242D"/>
    <w:rsid w:val="00302C1A"/>
    <w:rsid w:val="00302E89"/>
    <w:rsid w:val="0030304A"/>
    <w:rsid w:val="0030362A"/>
    <w:rsid w:val="003046CF"/>
    <w:rsid w:val="003051D4"/>
    <w:rsid w:val="003055CD"/>
    <w:rsid w:val="00305CD5"/>
    <w:rsid w:val="003078D9"/>
    <w:rsid w:val="003079EC"/>
    <w:rsid w:val="00310B9A"/>
    <w:rsid w:val="003110D2"/>
    <w:rsid w:val="0031126D"/>
    <w:rsid w:val="0031163C"/>
    <w:rsid w:val="00311726"/>
    <w:rsid w:val="0031239C"/>
    <w:rsid w:val="00312AEF"/>
    <w:rsid w:val="00312B7C"/>
    <w:rsid w:val="00313361"/>
    <w:rsid w:val="003134B7"/>
    <w:rsid w:val="00313A55"/>
    <w:rsid w:val="00314C7D"/>
    <w:rsid w:val="00315184"/>
    <w:rsid w:val="00315609"/>
    <w:rsid w:val="00315E48"/>
    <w:rsid w:val="003160FE"/>
    <w:rsid w:val="0031679C"/>
    <w:rsid w:val="00317897"/>
    <w:rsid w:val="00317B41"/>
    <w:rsid w:val="0032067B"/>
    <w:rsid w:val="00320805"/>
    <w:rsid w:val="00320A70"/>
    <w:rsid w:val="00320D78"/>
    <w:rsid w:val="00321020"/>
    <w:rsid w:val="003223D8"/>
    <w:rsid w:val="003225A2"/>
    <w:rsid w:val="00322BFB"/>
    <w:rsid w:val="00323845"/>
    <w:rsid w:val="00323E27"/>
    <w:rsid w:val="00323F6E"/>
    <w:rsid w:val="00326850"/>
    <w:rsid w:val="00326A91"/>
    <w:rsid w:val="00326CF1"/>
    <w:rsid w:val="00327056"/>
    <w:rsid w:val="0032719B"/>
    <w:rsid w:val="0033000A"/>
    <w:rsid w:val="003308D8"/>
    <w:rsid w:val="00331055"/>
    <w:rsid w:val="003318FF"/>
    <w:rsid w:val="003329B6"/>
    <w:rsid w:val="00333283"/>
    <w:rsid w:val="00333C80"/>
    <w:rsid w:val="003348A9"/>
    <w:rsid w:val="00334E0E"/>
    <w:rsid w:val="00335AA2"/>
    <w:rsid w:val="00335E65"/>
    <w:rsid w:val="0033618A"/>
    <w:rsid w:val="00336D01"/>
    <w:rsid w:val="0034165A"/>
    <w:rsid w:val="003417D8"/>
    <w:rsid w:val="0034191B"/>
    <w:rsid w:val="00341C59"/>
    <w:rsid w:val="00341E07"/>
    <w:rsid w:val="003421F8"/>
    <w:rsid w:val="0034339D"/>
    <w:rsid w:val="00343C53"/>
    <w:rsid w:val="00344784"/>
    <w:rsid w:val="003449F4"/>
    <w:rsid w:val="003459FA"/>
    <w:rsid w:val="0034634B"/>
    <w:rsid w:val="00346B4A"/>
    <w:rsid w:val="0035003A"/>
    <w:rsid w:val="00350A3E"/>
    <w:rsid w:val="00351869"/>
    <w:rsid w:val="00351950"/>
    <w:rsid w:val="003524B9"/>
    <w:rsid w:val="00352C4E"/>
    <w:rsid w:val="00353AC5"/>
    <w:rsid w:val="00354302"/>
    <w:rsid w:val="00354A88"/>
    <w:rsid w:val="00355537"/>
    <w:rsid w:val="00355BFF"/>
    <w:rsid w:val="003562A1"/>
    <w:rsid w:val="003569AC"/>
    <w:rsid w:val="003576EA"/>
    <w:rsid w:val="00360487"/>
    <w:rsid w:val="003604EE"/>
    <w:rsid w:val="0036154E"/>
    <w:rsid w:val="00361B03"/>
    <w:rsid w:val="003621E1"/>
    <w:rsid w:val="003626F6"/>
    <w:rsid w:val="00363313"/>
    <w:rsid w:val="0036584C"/>
    <w:rsid w:val="0036772D"/>
    <w:rsid w:val="0036774B"/>
    <w:rsid w:val="00367DB8"/>
    <w:rsid w:val="00370C6A"/>
    <w:rsid w:val="003713B8"/>
    <w:rsid w:val="0037178E"/>
    <w:rsid w:val="00371FC8"/>
    <w:rsid w:val="00372E6F"/>
    <w:rsid w:val="00372EE1"/>
    <w:rsid w:val="00372F29"/>
    <w:rsid w:val="00373F34"/>
    <w:rsid w:val="00374CC4"/>
    <w:rsid w:val="00374D5E"/>
    <w:rsid w:val="0037511A"/>
    <w:rsid w:val="00375168"/>
    <w:rsid w:val="00375C58"/>
    <w:rsid w:val="00375FA3"/>
    <w:rsid w:val="00376370"/>
    <w:rsid w:val="00376FD1"/>
    <w:rsid w:val="00377849"/>
    <w:rsid w:val="00380A66"/>
    <w:rsid w:val="00381D1A"/>
    <w:rsid w:val="0038242A"/>
    <w:rsid w:val="003824B8"/>
    <w:rsid w:val="003825E9"/>
    <w:rsid w:val="00382B90"/>
    <w:rsid w:val="00382BC5"/>
    <w:rsid w:val="00382C15"/>
    <w:rsid w:val="00382C8B"/>
    <w:rsid w:val="00382E57"/>
    <w:rsid w:val="00383169"/>
    <w:rsid w:val="00383CCF"/>
    <w:rsid w:val="00383DB7"/>
    <w:rsid w:val="003846C0"/>
    <w:rsid w:val="00387873"/>
    <w:rsid w:val="00387B7B"/>
    <w:rsid w:val="003904B0"/>
    <w:rsid w:val="00392AF4"/>
    <w:rsid w:val="00392B19"/>
    <w:rsid w:val="00393BC5"/>
    <w:rsid w:val="003940D6"/>
    <w:rsid w:val="0039433B"/>
    <w:rsid w:val="00395C94"/>
    <w:rsid w:val="00395E83"/>
    <w:rsid w:val="00397134"/>
    <w:rsid w:val="003971CF"/>
    <w:rsid w:val="00397327"/>
    <w:rsid w:val="00397767"/>
    <w:rsid w:val="003A03DD"/>
    <w:rsid w:val="003A0777"/>
    <w:rsid w:val="003A19EE"/>
    <w:rsid w:val="003A30FF"/>
    <w:rsid w:val="003A3521"/>
    <w:rsid w:val="003A3842"/>
    <w:rsid w:val="003A4FE0"/>
    <w:rsid w:val="003A65AD"/>
    <w:rsid w:val="003A6FE5"/>
    <w:rsid w:val="003A7076"/>
    <w:rsid w:val="003A744A"/>
    <w:rsid w:val="003A78C5"/>
    <w:rsid w:val="003B0815"/>
    <w:rsid w:val="003B0B02"/>
    <w:rsid w:val="003B0EB7"/>
    <w:rsid w:val="003B0ED1"/>
    <w:rsid w:val="003B1179"/>
    <w:rsid w:val="003B26C1"/>
    <w:rsid w:val="003B27F2"/>
    <w:rsid w:val="003B3417"/>
    <w:rsid w:val="003B3D5A"/>
    <w:rsid w:val="003B51FD"/>
    <w:rsid w:val="003B5990"/>
    <w:rsid w:val="003B62C4"/>
    <w:rsid w:val="003B7152"/>
    <w:rsid w:val="003C04A5"/>
    <w:rsid w:val="003C086E"/>
    <w:rsid w:val="003C0DDA"/>
    <w:rsid w:val="003C1051"/>
    <w:rsid w:val="003C133C"/>
    <w:rsid w:val="003C2ACA"/>
    <w:rsid w:val="003C3558"/>
    <w:rsid w:val="003C3CD8"/>
    <w:rsid w:val="003C4493"/>
    <w:rsid w:val="003C5055"/>
    <w:rsid w:val="003C58CA"/>
    <w:rsid w:val="003C5D75"/>
    <w:rsid w:val="003C5E2D"/>
    <w:rsid w:val="003C6922"/>
    <w:rsid w:val="003C6C4A"/>
    <w:rsid w:val="003C7116"/>
    <w:rsid w:val="003C7D89"/>
    <w:rsid w:val="003D063A"/>
    <w:rsid w:val="003D06A2"/>
    <w:rsid w:val="003D1085"/>
    <w:rsid w:val="003D131B"/>
    <w:rsid w:val="003D2EBC"/>
    <w:rsid w:val="003D3D40"/>
    <w:rsid w:val="003D3E58"/>
    <w:rsid w:val="003D4102"/>
    <w:rsid w:val="003D4704"/>
    <w:rsid w:val="003D578F"/>
    <w:rsid w:val="003D5C6F"/>
    <w:rsid w:val="003D6412"/>
    <w:rsid w:val="003D71A7"/>
    <w:rsid w:val="003D7497"/>
    <w:rsid w:val="003D74C8"/>
    <w:rsid w:val="003D7FB7"/>
    <w:rsid w:val="003E0088"/>
    <w:rsid w:val="003E0B5B"/>
    <w:rsid w:val="003E0F05"/>
    <w:rsid w:val="003E1098"/>
    <w:rsid w:val="003E16DC"/>
    <w:rsid w:val="003E2010"/>
    <w:rsid w:val="003E5D1B"/>
    <w:rsid w:val="003E6AC6"/>
    <w:rsid w:val="003E6C81"/>
    <w:rsid w:val="003E76B0"/>
    <w:rsid w:val="003F0497"/>
    <w:rsid w:val="003F07DF"/>
    <w:rsid w:val="003F09A9"/>
    <w:rsid w:val="003F13CB"/>
    <w:rsid w:val="003F28DE"/>
    <w:rsid w:val="003F31FC"/>
    <w:rsid w:val="003F365F"/>
    <w:rsid w:val="003F497A"/>
    <w:rsid w:val="003F73DB"/>
    <w:rsid w:val="004001A5"/>
    <w:rsid w:val="00400856"/>
    <w:rsid w:val="004009FF"/>
    <w:rsid w:val="00400D87"/>
    <w:rsid w:val="00400DFC"/>
    <w:rsid w:val="00401802"/>
    <w:rsid w:val="0040192A"/>
    <w:rsid w:val="004033EB"/>
    <w:rsid w:val="00403D02"/>
    <w:rsid w:val="00404DDC"/>
    <w:rsid w:val="004059CC"/>
    <w:rsid w:val="00405B9C"/>
    <w:rsid w:val="00405E36"/>
    <w:rsid w:val="00405E56"/>
    <w:rsid w:val="00405ED2"/>
    <w:rsid w:val="00406948"/>
    <w:rsid w:val="0040749D"/>
    <w:rsid w:val="00410E38"/>
    <w:rsid w:val="0041128A"/>
    <w:rsid w:val="00411832"/>
    <w:rsid w:val="00413BCF"/>
    <w:rsid w:val="004146AF"/>
    <w:rsid w:val="00415A9D"/>
    <w:rsid w:val="00415FF8"/>
    <w:rsid w:val="00417175"/>
    <w:rsid w:val="004179CB"/>
    <w:rsid w:val="00417D5F"/>
    <w:rsid w:val="004200D2"/>
    <w:rsid w:val="004221BF"/>
    <w:rsid w:val="0042223A"/>
    <w:rsid w:val="00425947"/>
    <w:rsid w:val="00426533"/>
    <w:rsid w:val="004268A9"/>
    <w:rsid w:val="00427DFA"/>
    <w:rsid w:val="004303E0"/>
    <w:rsid w:val="0043040F"/>
    <w:rsid w:val="004308B8"/>
    <w:rsid w:val="00431D20"/>
    <w:rsid w:val="0043216A"/>
    <w:rsid w:val="00432B3F"/>
    <w:rsid w:val="00433171"/>
    <w:rsid w:val="004332B3"/>
    <w:rsid w:val="00434635"/>
    <w:rsid w:val="00434C8B"/>
    <w:rsid w:val="00435746"/>
    <w:rsid w:val="00436733"/>
    <w:rsid w:val="0043688D"/>
    <w:rsid w:val="00437488"/>
    <w:rsid w:val="00437701"/>
    <w:rsid w:val="0044001B"/>
    <w:rsid w:val="0044055D"/>
    <w:rsid w:val="0044063A"/>
    <w:rsid w:val="0044134B"/>
    <w:rsid w:val="00442C76"/>
    <w:rsid w:val="00442E5E"/>
    <w:rsid w:val="004436B2"/>
    <w:rsid w:val="004438AD"/>
    <w:rsid w:val="00443D1D"/>
    <w:rsid w:val="00444691"/>
    <w:rsid w:val="004446AE"/>
    <w:rsid w:val="00444E94"/>
    <w:rsid w:val="004450DE"/>
    <w:rsid w:val="00445901"/>
    <w:rsid w:val="00445ED8"/>
    <w:rsid w:val="004466CE"/>
    <w:rsid w:val="00446D82"/>
    <w:rsid w:val="0044728A"/>
    <w:rsid w:val="00447F90"/>
    <w:rsid w:val="00450040"/>
    <w:rsid w:val="00451205"/>
    <w:rsid w:val="004513DA"/>
    <w:rsid w:val="0045173C"/>
    <w:rsid w:val="00451887"/>
    <w:rsid w:val="00452067"/>
    <w:rsid w:val="004520B2"/>
    <w:rsid w:val="0045229C"/>
    <w:rsid w:val="00452D85"/>
    <w:rsid w:val="00452FCA"/>
    <w:rsid w:val="00453269"/>
    <w:rsid w:val="0045475C"/>
    <w:rsid w:val="004556A6"/>
    <w:rsid w:val="0045575F"/>
    <w:rsid w:val="00455B98"/>
    <w:rsid w:val="00456499"/>
    <w:rsid w:val="00456AB1"/>
    <w:rsid w:val="00456E40"/>
    <w:rsid w:val="0045721B"/>
    <w:rsid w:val="004605E8"/>
    <w:rsid w:val="004608A0"/>
    <w:rsid w:val="004615FA"/>
    <w:rsid w:val="00461FA1"/>
    <w:rsid w:val="00462D67"/>
    <w:rsid w:val="00463092"/>
    <w:rsid w:val="00463356"/>
    <w:rsid w:val="004655D7"/>
    <w:rsid w:val="00465A44"/>
    <w:rsid w:val="00466373"/>
    <w:rsid w:val="0046643A"/>
    <w:rsid w:val="0046728C"/>
    <w:rsid w:val="00467375"/>
    <w:rsid w:val="00467BA7"/>
    <w:rsid w:val="004704BB"/>
    <w:rsid w:val="00470C8B"/>
    <w:rsid w:val="00470DB5"/>
    <w:rsid w:val="00471A71"/>
    <w:rsid w:val="00471ED5"/>
    <w:rsid w:val="00472224"/>
    <w:rsid w:val="0047269A"/>
    <w:rsid w:val="00472EB5"/>
    <w:rsid w:val="00473C62"/>
    <w:rsid w:val="00474036"/>
    <w:rsid w:val="00474BB5"/>
    <w:rsid w:val="00474BF4"/>
    <w:rsid w:val="00474C42"/>
    <w:rsid w:val="00475890"/>
    <w:rsid w:val="004758B3"/>
    <w:rsid w:val="004758C9"/>
    <w:rsid w:val="004762D0"/>
    <w:rsid w:val="0047659E"/>
    <w:rsid w:val="00476879"/>
    <w:rsid w:val="0047749D"/>
    <w:rsid w:val="00477C26"/>
    <w:rsid w:val="00477DB2"/>
    <w:rsid w:val="00480475"/>
    <w:rsid w:val="00480650"/>
    <w:rsid w:val="00481F2D"/>
    <w:rsid w:val="004821E7"/>
    <w:rsid w:val="00482400"/>
    <w:rsid w:val="00482EB9"/>
    <w:rsid w:val="0048315C"/>
    <w:rsid w:val="004839C3"/>
    <w:rsid w:val="00483C63"/>
    <w:rsid w:val="00484200"/>
    <w:rsid w:val="00484C71"/>
    <w:rsid w:val="004852D1"/>
    <w:rsid w:val="004863CC"/>
    <w:rsid w:val="00486DEF"/>
    <w:rsid w:val="004874CE"/>
    <w:rsid w:val="004906A8"/>
    <w:rsid w:val="00491D55"/>
    <w:rsid w:val="00491D97"/>
    <w:rsid w:val="0049256F"/>
    <w:rsid w:val="00492892"/>
    <w:rsid w:val="00492BF5"/>
    <w:rsid w:val="00493833"/>
    <w:rsid w:val="00494645"/>
    <w:rsid w:val="00494A04"/>
    <w:rsid w:val="004954EB"/>
    <w:rsid w:val="00495A5E"/>
    <w:rsid w:val="0049618A"/>
    <w:rsid w:val="00496FE2"/>
    <w:rsid w:val="00497744"/>
    <w:rsid w:val="004A0099"/>
    <w:rsid w:val="004A1656"/>
    <w:rsid w:val="004A17B4"/>
    <w:rsid w:val="004A1E7B"/>
    <w:rsid w:val="004A3582"/>
    <w:rsid w:val="004A3F0D"/>
    <w:rsid w:val="004A4281"/>
    <w:rsid w:val="004A494A"/>
    <w:rsid w:val="004A6915"/>
    <w:rsid w:val="004A75F6"/>
    <w:rsid w:val="004B0640"/>
    <w:rsid w:val="004B15F4"/>
    <w:rsid w:val="004B1F67"/>
    <w:rsid w:val="004B218B"/>
    <w:rsid w:val="004B2672"/>
    <w:rsid w:val="004B2707"/>
    <w:rsid w:val="004B2B07"/>
    <w:rsid w:val="004B30E6"/>
    <w:rsid w:val="004B3C01"/>
    <w:rsid w:val="004B3DD3"/>
    <w:rsid w:val="004B4A44"/>
    <w:rsid w:val="004B546D"/>
    <w:rsid w:val="004B6281"/>
    <w:rsid w:val="004B6F9E"/>
    <w:rsid w:val="004B768B"/>
    <w:rsid w:val="004B76C9"/>
    <w:rsid w:val="004B7A85"/>
    <w:rsid w:val="004C054B"/>
    <w:rsid w:val="004C05EF"/>
    <w:rsid w:val="004C15C2"/>
    <w:rsid w:val="004C1607"/>
    <w:rsid w:val="004C18D1"/>
    <w:rsid w:val="004C1FFC"/>
    <w:rsid w:val="004C23FA"/>
    <w:rsid w:val="004C321E"/>
    <w:rsid w:val="004C3E97"/>
    <w:rsid w:val="004C4082"/>
    <w:rsid w:val="004C430A"/>
    <w:rsid w:val="004C4B19"/>
    <w:rsid w:val="004C5140"/>
    <w:rsid w:val="004C5650"/>
    <w:rsid w:val="004C5CA9"/>
    <w:rsid w:val="004C66C1"/>
    <w:rsid w:val="004C6DC7"/>
    <w:rsid w:val="004C6E42"/>
    <w:rsid w:val="004C6F02"/>
    <w:rsid w:val="004C74D1"/>
    <w:rsid w:val="004C7858"/>
    <w:rsid w:val="004C7930"/>
    <w:rsid w:val="004D0E57"/>
    <w:rsid w:val="004D0EFD"/>
    <w:rsid w:val="004D1A5C"/>
    <w:rsid w:val="004D1BF8"/>
    <w:rsid w:val="004D2074"/>
    <w:rsid w:val="004D3504"/>
    <w:rsid w:val="004D3562"/>
    <w:rsid w:val="004D3DAB"/>
    <w:rsid w:val="004D47F6"/>
    <w:rsid w:val="004D4A7E"/>
    <w:rsid w:val="004D5536"/>
    <w:rsid w:val="004D5FAD"/>
    <w:rsid w:val="004E0209"/>
    <w:rsid w:val="004E098D"/>
    <w:rsid w:val="004E1E5B"/>
    <w:rsid w:val="004E3D6C"/>
    <w:rsid w:val="004E4402"/>
    <w:rsid w:val="004E443E"/>
    <w:rsid w:val="004E46B2"/>
    <w:rsid w:val="004E5CEE"/>
    <w:rsid w:val="004E6350"/>
    <w:rsid w:val="004F0084"/>
    <w:rsid w:val="004F09B3"/>
    <w:rsid w:val="004F14D3"/>
    <w:rsid w:val="004F1A80"/>
    <w:rsid w:val="004F1B25"/>
    <w:rsid w:val="004F1BAA"/>
    <w:rsid w:val="004F316C"/>
    <w:rsid w:val="004F39F7"/>
    <w:rsid w:val="004F4528"/>
    <w:rsid w:val="004F56E4"/>
    <w:rsid w:val="004F6371"/>
    <w:rsid w:val="004F6721"/>
    <w:rsid w:val="004F67C7"/>
    <w:rsid w:val="005014EC"/>
    <w:rsid w:val="00502363"/>
    <w:rsid w:val="00503345"/>
    <w:rsid w:val="00504BBB"/>
    <w:rsid w:val="00504CCD"/>
    <w:rsid w:val="00505D30"/>
    <w:rsid w:val="00505F62"/>
    <w:rsid w:val="00507124"/>
    <w:rsid w:val="00507171"/>
    <w:rsid w:val="00507BCA"/>
    <w:rsid w:val="005101A5"/>
    <w:rsid w:val="00511CBF"/>
    <w:rsid w:val="00511DE6"/>
    <w:rsid w:val="00512181"/>
    <w:rsid w:val="00512520"/>
    <w:rsid w:val="00513200"/>
    <w:rsid w:val="0051321C"/>
    <w:rsid w:val="005133B8"/>
    <w:rsid w:val="00513786"/>
    <w:rsid w:val="0051407E"/>
    <w:rsid w:val="00514253"/>
    <w:rsid w:val="005146AC"/>
    <w:rsid w:val="005147A8"/>
    <w:rsid w:val="005154ED"/>
    <w:rsid w:val="00515ADA"/>
    <w:rsid w:val="00516C66"/>
    <w:rsid w:val="00517619"/>
    <w:rsid w:val="005179F6"/>
    <w:rsid w:val="005218F7"/>
    <w:rsid w:val="00521D6C"/>
    <w:rsid w:val="00522006"/>
    <w:rsid w:val="00522D8D"/>
    <w:rsid w:val="00523D12"/>
    <w:rsid w:val="0052486D"/>
    <w:rsid w:val="005249B2"/>
    <w:rsid w:val="00525474"/>
    <w:rsid w:val="00525C62"/>
    <w:rsid w:val="005261DD"/>
    <w:rsid w:val="0052717E"/>
    <w:rsid w:val="00530C3C"/>
    <w:rsid w:val="00530DB1"/>
    <w:rsid w:val="0053153C"/>
    <w:rsid w:val="005316B7"/>
    <w:rsid w:val="00531BA2"/>
    <w:rsid w:val="00531C98"/>
    <w:rsid w:val="0053237F"/>
    <w:rsid w:val="0053248A"/>
    <w:rsid w:val="00532F36"/>
    <w:rsid w:val="00533D41"/>
    <w:rsid w:val="00533D99"/>
    <w:rsid w:val="00535896"/>
    <w:rsid w:val="00536672"/>
    <w:rsid w:val="0053696A"/>
    <w:rsid w:val="00536ACB"/>
    <w:rsid w:val="00536B43"/>
    <w:rsid w:val="00537525"/>
    <w:rsid w:val="0054092E"/>
    <w:rsid w:val="00540B82"/>
    <w:rsid w:val="00540B8D"/>
    <w:rsid w:val="005425C8"/>
    <w:rsid w:val="00542BBE"/>
    <w:rsid w:val="005477C0"/>
    <w:rsid w:val="00547951"/>
    <w:rsid w:val="00547A2D"/>
    <w:rsid w:val="005523FA"/>
    <w:rsid w:val="0055364A"/>
    <w:rsid w:val="00553C7F"/>
    <w:rsid w:val="0055475A"/>
    <w:rsid w:val="005549D8"/>
    <w:rsid w:val="00554BBF"/>
    <w:rsid w:val="00555113"/>
    <w:rsid w:val="00555355"/>
    <w:rsid w:val="00555578"/>
    <w:rsid w:val="00555ED7"/>
    <w:rsid w:val="00555F2A"/>
    <w:rsid w:val="00557736"/>
    <w:rsid w:val="005604D4"/>
    <w:rsid w:val="005607C0"/>
    <w:rsid w:val="00561135"/>
    <w:rsid w:val="00561A07"/>
    <w:rsid w:val="00561DFC"/>
    <w:rsid w:val="00561FDD"/>
    <w:rsid w:val="0056201A"/>
    <w:rsid w:val="00562BD6"/>
    <w:rsid w:val="00562D74"/>
    <w:rsid w:val="005637A6"/>
    <w:rsid w:val="005648B6"/>
    <w:rsid w:val="00567314"/>
    <w:rsid w:val="00567E23"/>
    <w:rsid w:val="005704B0"/>
    <w:rsid w:val="005705C8"/>
    <w:rsid w:val="00570986"/>
    <w:rsid w:val="00570E78"/>
    <w:rsid w:val="00570EAB"/>
    <w:rsid w:val="005713F2"/>
    <w:rsid w:val="0057344F"/>
    <w:rsid w:val="00573550"/>
    <w:rsid w:val="005739CE"/>
    <w:rsid w:val="00574258"/>
    <w:rsid w:val="005744B6"/>
    <w:rsid w:val="00575486"/>
    <w:rsid w:val="00575997"/>
    <w:rsid w:val="005770C5"/>
    <w:rsid w:val="0057718C"/>
    <w:rsid w:val="005772E6"/>
    <w:rsid w:val="005779A2"/>
    <w:rsid w:val="00580625"/>
    <w:rsid w:val="005806C2"/>
    <w:rsid w:val="005831C8"/>
    <w:rsid w:val="00583542"/>
    <w:rsid w:val="00584A8F"/>
    <w:rsid w:val="00585DCC"/>
    <w:rsid w:val="00585FA0"/>
    <w:rsid w:val="005870A0"/>
    <w:rsid w:val="00587719"/>
    <w:rsid w:val="00587D67"/>
    <w:rsid w:val="00590BB0"/>
    <w:rsid w:val="00591147"/>
    <w:rsid w:val="00593312"/>
    <w:rsid w:val="00594123"/>
    <w:rsid w:val="005955D0"/>
    <w:rsid w:val="005956A7"/>
    <w:rsid w:val="00595B46"/>
    <w:rsid w:val="005969A4"/>
    <w:rsid w:val="005A01F5"/>
    <w:rsid w:val="005A0287"/>
    <w:rsid w:val="005A1113"/>
    <w:rsid w:val="005A2573"/>
    <w:rsid w:val="005A32A2"/>
    <w:rsid w:val="005A3453"/>
    <w:rsid w:val="005A3652"/>
    <w:rsid w:val="005A3898"/>
    <w:rsid w:val="005A3A45"/>
    <w:rsid w:val="005A4BA2"/>
    <w:rsid w:val="005A548E"/>
    <w:rsid w:val="005A6AD1"/>
    <w:rsid w:val="005A725F"/>
    <w:rsid w:val="005A77C0"/>
    <w:rsid w:val="005A7A9A"/>
    <w:rsid w:val="005A7F10"/>
    <w:rsid w:val="005B07DC"/>
    <w:rsid w:val="005B12BF"/>
    <w:rsid w:val="005B12D6"/>
    <w:rsid w:val="005B1A8B"/>
    <w:rsid w:val="005B28CD"/>
    <w:rsid w:val="005B2D26"/>
    <w:rsid w:val="005B312E"/>
    <w:rsid w:val="005B4294"/>
    <w:rsid w:val="005B44D4"/>
    <w:rsid w:val="005B6C3E"/>
    <w:rsid w:val="005B6DA5"/>
    <w:rsid w:val="005B6E70"/>
    <w:rsid w:val="005C0089"/>
    <w:rsid w:val="005C0425"/>
    <w:rsid w:val="005C0B56"/>
    <w:rsid w:val="005C1FA8"/>
    <w:rsid w:val="005C2600"/>
    <w:rsid w:val="005C27D1"/>
    <w:rsid w:val="005C3215"/>
    <w:rsid w:val="005C362A"/>
    <w:rsid w:val="005C44F0"/>
    <w:rsid w:val="005C49E9"/>
    <w:rsid w:val="005C4BA5"/>
    <w:rsid w:val="005C51F4"/>
    <w:rsid w:val="005C58BE"/>
    <w:rsid w:val="005C5BD8"/>
    <w:rsid w:val="005C6062"/>
    <w:rsid w:val="005C655A"/>
    <w:rsid w:val="005C69D3"/>
    <w:rsid w:val="005C6D0A"/>
    <w:rsid w:val="005C7886"/>
    <w:rsid w:val="005C7A59"/>
    <w:rsid w:val="005D0A7F"/>
    <w:rsid w:val="005D0A9B"/>
    <w:rsid w:val="005D0B2E"/>
    <w:rsid w:val="005D0DF1"/>
    <w:rsid w:val="005D16F1"/>
    <w:rsid w:val="005D1938"/>
    <w:rsid w:val="005D1B2D"/>
    <w:rsid w:val="005D1E9E"/>
    <w:rsid w:val="005D20E3"/>
    <w:rsid w:val="005D2385"/>
    <w:rsid w:val="005D2C87"/>
    <w:rsid w:val="005D3A24"/>
    <w:rsid w:val="005D4349"/>
    <w:rsid w:val="005D474B"/>
    <w:rsid w:val="005D4A28"/>
    <w:rsid w:val="005D4E3D"/>
    <w:rsid w:val="005D6DFE"/>
    <w:rsid w:val="005D7604"/>
    <w:rsid w:val="005D7DA4"/>
    <w:rsid w:val="005E032A"/>
    <w:rsid w:val="005E0ECD"/>
    <w:rsid w:val="005E0FD0"/>
    <w:rsid w:val="005E27C5"/>
    <w:rsid w:val="005E2B37"/>
    <w:rsid w:val="005E34F3"/>
    <w:rsid w:val="005E3F47"/>
    <w:rsid w:val="005E45A5"/>
    <w:rsid w:val="005E56B5"/>
    <w:rsid w:val="005E6218"/>
    <w:rsid w:val="005E73EE"/>
    <w:rsid w:val="005E7949"/>
    <w:rsid w:val="005F03CF"/>
    <w:rsid w:val="005F1C0B"/>
    <w:rsid w:val="005F1C9D"/>
    <w:rsid w:val="005F238E"/>
    <w:rsid w:val="005F423B"/>
    <w:rsid w:val="005F45E1"/>
    <w:rsid w:val="005F46FF"/>
    <w:rsid w:val="005F50C6"/>
    <w:rsid w:val="005F61AA"/>
    <w:rsid w:val="005F62AB"/>
    <w:rsid w:val="005F6530"/>
    <w:rsid w:val="005F7449"/>
    <w:rsid w:val="005F7E44"/>
    <w:rsid w:val="00602363"/>
    <w:rsid w:val="006037AA"/>
    <w:rsid w:val="00603A97"/>
    <w:rsid w:val="00603D04"/>
    <w:rsid w:val="00604376"/>
    <w:rsid w:val="00604A17"/>
    <w:rsid w:val="006055B0"/>
    <w:rsid w:val="00605D74"/>
    <w:rsid w:val="0060601A"/>
    <w:rsid w:val="00606758"/>
    <w:rsid w:val="00606895"/>
    <w:rsid w:val="00607745"/>
    <w:rsid w:val="006123B7"/>
    <w:rsid w:val="006127E3"/>
    <w:rsid w:val="00613125"/>
    <w:rsid w:val="0061386D"/>
    <w:rsid w:val="00614CD1"/>
    <w:rsid w:val="00615347"/>
    <w:rsid w:val="00616630"/>
    <w:rsid w:val="006206D6"/>
    <w:rsid w:val="00620B36"/>
    <w:rsid w:val="00621915"/>
    <w:rsid w:val="00622D9D"/>
    <w:rsid w:val="00623481"/>
    <w:rsid w:val="00623F87"/>
    <w:rsid w:val="0062412C"/>
    <w:rsid w:val="00624371"/>
    <w:rsid w:val="0062487A"/>
    <w:rsid w:val="00625655"/>
    <w:rsid w:val="00625B6F"/>
    <w:rsid w:val="00626321"/>
    <w:rsid w:val="00626358"/>
    <w:rsid w:val="00627716"/>
    <w:rsid w:val="0063103B"/>
    <w:rsid w:val="0063165F"/>
    <w:rsid w:val="00631BF9"/>
    <w:rsid w:val="00631D32"/>
    <w:rsid w:val="006330CA"/>
    <w:rsid w:val="00634E11"/>
    <w:rsid w:val="00634F49"/>
    <w:rsid w:val="00635165"/>
    <w:rsid w:val="00635A4E"/>
    <w:rsid w:val="0063608B"/>
    <w:rsid w:val="00636606"/>
    <w:rsid w:val="006371D9"/>
    <w:rsid w:val="0063785D"/>
    <w:rsid w:val="00637FEE"/>
    <w:rsid w:val="00640747"/>
    <w:rsid w:val="006411EA"/>
    <w:rsid w:val="00641441"/>
    <w:rsid w:val="00642DFC"/>
    <w:rsid w:val="00643057"/>
    <w:rsid w:val="006430F0"/>
    <w:rsid w:val="006435F8"/>
    <w:rsid w:val="00643AEF"/>
    <w:rsid w:val="00644F05"/>
    <w:rsid w:val="006454B2"/>
    <w:rsid w:val="00645B63"/>
    <w:rsid w:val="00645C4A"/>
    <w:rsid w:val="00645C9F"/>
    <w:rsid w:val="00645FF7"/>
    <w:rsid w:val="006460BC"/>
    <w:rsid w:val="00646643"/>
    <w:rsid w:val="0064691A"/>
    <w:rsid w:val="00646A99"/>
    <w:rsid w:val="0064771E"/>
    <w:rsid w:val="00650017"/>
    <w:rsid w:val="00650517"/>
    <w:rsid w:val="006505C4"/>
    <w:rsid w:val="0065084B"/>
    <w:rsid w:val="00650879"/>
    <w:rsid w:val="0065096E"/>
    <w:rsid w:val="00652269"/>
    <w:rsid w:val="006525D3"/>
    <w:rsid w:val="00653021"/>
    <w:rsid w:val="006544A8"/>
    <w:rsid w:val="0065560D"/>
    <w:rsid w:val="00655AF6"/>
    <w:rsid w:val="006561F5"/>
    <w:rsid w:val="00657386"/>
    <w:rsid w:val="0065742B"/>
    <w:rsid w:val="0065779A"/>
    <w:rsid w:val="00660803"/>
    <w:rsid w:val="0066245D"/>
    <w:rsid w:val="00662B2B"/>
    <w:rsid w:val="006632B7"/>
    <w:rsid w:val="00663723"/>
    <w:rsid w:val="00663A68"/>
    <w:rsid w:val="00663F69"/>
    <w:rsid w:val="0066434C"/>
    <w:rsid w:val="0066455A"/>
    <w:rsid w:val="0066525F"/>
    <w:rsid w:val="00665899"/>
    <w:rsid w:val="006658D9"/>
    <w:rsid w:val="0066595F"/>
    <w:rsid w:val="00665E35"/>
    <w:rsid w:val="00665F7C"/>
    <w:rsid w:val="00665F88"/>
    <w:rsid w:val="00666567"/>
    <w:rsid w:val="00667C54"/>
    <w:rsid w:val="006705D4"/>
    <w:rsid w:val="00670683"/>
    <w:rsid w:val="00670FAA"/>
    <w:rsid w:val="006722DB"/>
    <w:rsid w:val="00673EDF"/>
    <w:rsid w:val="00674549"/>
    <w:rsid w:val="00674C6D"/>
    <w:rsid w:val="006751B1"/>
    <w:rsid w:val="00676434"/>
    <w:rsid w:val="006765AC"/>
    <w:rsid w:val="00676EBF"/>
    <w:rsid w:val="0067724F"/>
    <w:rsid w:val="0067752D"/>
    <w:rsid w:val="0068016D"/>
    <w:rsid w:val="006805DE"/>
    <w:rsid w:val="00680887"/>
    <w:rsid w:val="00680E84"/>
    <w:rsid w:val="00682151"/>
    <w:rsid w:val="006825D9"/>
    <w:rsid w:val="00683815"/>
    <w:rsid w:val="00683AC5"/>
    <w:rsid w:val="00683E73"/>
    <w:rsid w:val="00684A11"/>
    <w:rsid w:val="0068504A"/>
    <w:rsid w:val="006853F9"/>
    <w:rsid w:val="006855DD"/>
    <w:rsid w:val="0068657A"/>
    <w:rsid w:val="006869BB"/>
    <w:rsid w:val="00686DB2"/>
    <w:rsid w:val="00690AE1"/>
    <w:rsid w:val="00690B0A"/>
    <w:rsid w:val="0069190D"/>
    <w:rsid w:val="00692049"/>
    <w:rsid w:val="006933BC"/>
    <w:rsid w:val="0069357E"/>
    <w:rsid w:val="00694305"/>
    <w:rsid w:val="00695090"/>
    <w:rsid w:val="0069509C"/>
    <w:rsid w:val="0069569F"/>
    <w:rsid w:val="00695BC5"/>
    <w:rsid w:val="00696A14"/>
    <w:rsid w:val="00696C56"/>
    <w:rsid w:val="006A04D0"/>
    <w:rsid w:val="006A11C6"/>
    <w:rsid w:val="006A2847"/>
    <w:rsid w:val="006A2EFD"/>
    <w:rsid w:val="006A561D"/>
    <w:rsid w:val="006A5AE4"/>
    <w:rsid w:val="006A5CB1"/>
    <w:rsid w:val="006A625A"/>
    <w:rsid w:val="006A7130"/>
    <w:rsid w:val="006A774B"/>
    <w:rsid w:val="006A79AE"/>
    <w:rsid w:val="006A7D85"/>
    <w:rsid w:val="006B0B60"/>
    <w:rsid w:val="006B10CA"/>
    <w:rsid w:val="006B1718"/>
    <w:rsid w:val="006B1FCB"/>
    <w:rsid w:val="006B2CF8"/>
    <w:rsid w:val="006B2E58"/>
    <w:rsid w:val="006B38EB"/>
    <w:rsid w:val="006B3AB3"/>
    <w:rsid w:val="006B4218"/>
    <w:rsid w:val="006B4338"/>
    <w:rsid w:val="006B5C1A"/>
    <w:rsid w:val="006B6073"/>
    <w:rsid w:val="006B7489"/>
    <w:rsid w:val="006B770D"/>
    <w:rsid w:val="006B7D32"/>
    <w:rsid w:val="006C0392"/>
    <w:rsid w:val="006C0C6A"/>
    <w:rsid w:val="006C124D"/>
    <w:rsid w:val="006C135D"/>
    <w:rsid w:val="006C2094"/>
    <w:rsid w:val="006C3CF1"/>
    <w:rsid w:val="006C468E"/>
    <w:rsid w:val="006C4B3E"/>
    <w:rsid w:val="006C5076"/>
    <w:rsid w:val="006C55D5"/>
    <w:rsid w:val="006C6042"/>
    <w:rsid w:val="006C729F"/>
    <w:rsid w:val="006C77CA"/>
    <w:rsid w:val="006C7CFB"/>
    <w:rsid w:val="006D1ACC"/>
    <w:rsid w:val="006D44C6"/>
    <w:rsid w:val="006D4F0A"/>
    <w:rsid w:val="006D5AF9"/>
    <w:rsid w:val="006D5EF5"/>
    <w:rsid w:val="006D751D"/>
    <w:rsid w:val="006D7B03"/>
    <w:rsid w:val="006E1487"/>
    <w:rsid w:val="006E220E"/>
    <w:rsid w:val="006E274D"/>
    <w:rsid w:val="006E4429"/>
    <w:rsid w:val="006E53F5"/>
    <w:rsid w:val="006E5AD8"/>
    <w:rsid w:val="006E782C"/>
    <w:rsid w:val="006E7BFB"/>
    <w:rsid w:val="006E7DAD"/>
    <w:rsid w:val="006F0C49"/>
    <w:rsid w:val="006F0F89"/>
    <w:rsid w:val="006F1D15"/>
    <w:rsid w:val="006F231D"/>
    <w:rsid w:val="006F2957"/>
    <w:rsid w:val="006F2CD3"/>
    <w:rsid w:val="006F2E7E"/>
    <w:rsid w:val="006F3A22"/>
    <w:rsid w:val="006F405C"/>
    <w:rsid w:val="006F4759"/>
    <w:rsid w:val="006F48D2"/>
    <w:rsid w:val="006F4BB4"/>
    <w:rsid w:val="006F5D5E"/>
    <w:rsid w:val="006F5D74"/>
    <w:rsid w:val="006F648F"/>
    <w:rsid w:val="006F6857"/>
    <w:rsid w:val="006F6992"/>
    <w:rsid w:val="006F72BA"/>
    <w:rsid w:val="006F7C41"/>
    <w:rsid w:val="00700E94"/>
    <w:rsid w:val="007017F0"/>
    <w:rsid w:val="00701E7B"/>
    <w:rsid w:val="00702802"/>
    <w:rsid w:val="007028A0"/>
    <w:rsid w:val="007028E9"/>
    <w:rsid w:val="0070293C"/>
    <w:rsid w:val="00703045"/>
    <w:rsid w:val="00703172"/>
    <w:rsid w:val="00703989"/>
    <w:rsid w:val="00703F4D"/>
    <w:rsid w:val="00703F72"/>
    <w:rsid w:val="007050CD"/>
    <w:rsid w:val="00705874"/>
    <w:rsid w:val="00706C67"/>
    <w:rsid w:val="00706D63"/>
    <w:rsid w:val="00707FD9"/>
    <w:rsid w:val="007111F6"/>
    <w:rsid w:val="0071178A"/>
    <w:rsid w:val="0071255B"/>
    <w:rsid w:val="00712689"/>
    <w:rsid w:val="00713B0E"/>
    <w:rsid w:val="007147E5"/>
    <w:rsid w:val="00715506"/>
    <w:rsid w:val="00715DC8"/>
    <w:rsid w:val="00716C68"/>
    <w:rsid w:val="0072005A"/>
    <w:rsid w:val="007207D9"/>
    <w:rsid w:val="00720F99"/>
    <w:rsid w:val="00722364"/>
    <w:rsid w:val="00722A5A"/>
    <w:rsid w:val="00722E7B"/>
    <w:rsid w:val="00723263"/>
    <w:rsid w:val="00723708"/>
    <w:rsid w:val="00723C9B"/>
    <w:rsid w:val="00723F3C"/>
    <w:rsid w:val="00724189"/>
    <w:rsid w:val="00724ACC"/>
    <w:rsid w:val="00724E02"/>
    <w:rsid w:val="0072502C"/>
    <w:rsid w:val="00725165"/>
    <w:rsid w:val="00725523"/>
    <w:rsid w:val="00725525"/>
    <w:rsid w:val="0072569A"/>
    <w:rsid w:val="0072578C"/>
    <w:rsid w:val="007270B0"/>
    <w:rsid w:val="007276B8"/>
    <w:rsid w:val="00727F8B"/>
    <w:rsid w:val="00730068"/>
    <w:rsid w:val="00730C99"/>
    <w:rsid w:val="00731833"/>
    <w:rsid w:val="00732C0D"/>
    <w:rsid w:val="00733430"/>
    <w:rsid w:val="00734001"/>
    <w:rsid w:val="007340A8"/>
    <w:rsid w:val="0073433A"/>
    <w:rsid w:val="007348A1"/>
    <w:rsid w:val="00734C9B"/>
    <w:rsid w:val="00734D88"/>
    <w:rsid w:val="00734E32"/>
    <w:rsid w:val="007354A0"/>
    <w:rsid w:val="0073610A"/>
    <w:rsid w:val="00736E1B"/>
    <w:rsid w:val="00737536"/>
    <w:rsid w:val="00740E10"/>
    <w:rsid w:val="007412FE"/>
    <w:rsid w:val="007414FB"/>
    <w:rsid w:val="007432AE"/>
    <w:rsid w:val="007432C8"/>
    <w:rsid w:val="007449A5"/>
    <w:rsid w:val="00744C7D"/>
    <w:rsid w:val="00744D7B"/>
    <w:rsid w:val="00744FF7"/>
    <w:rsid w:val="00746BFC"/>
    <w:rsid w:val="007478C3"/>
    <w:rsid w:val="00747C53"/>
    <w:rsid w:val="00750354"/>
    <w:rsid w:val="007506F7"/>
    <w:rsid w:val="00750B90"/>
    <w:rsid w:val="00750BAE"/>
    <w:rsid w:val="00751976"/>
    <w:rsid w:val="00751BA8"/>
    <w:rsid w:val="00752C5D"/>
    <w:rsid w:val="00752EF0"/>
    <w:rsid w:val="00752F15"/>
    <w:rsid w:val="00753104"/>
    <w:rsid w:val="00753409"/>
    <w:rsid w:val="007541F3"/>
    <w:rsid w:val="00754CBB"/>
    <w:rsid w:val="00754D93"/>
    <w:rsid w:val="00755799"/>
    <w:rsid w:val="00756A43"/>
    <w:rsid w:val="007571BF"/>
    <w:rsid w:val="00757AD2"/>
    <w:rsid w:val="007614EA"/>
    <w:rsid w:val="007618FC"/>
    <w:rsid w:val="00762C3C"/>
    <w:rsid w:val="0076308A"/>
    <w:rsid w:val="007631D6"/>
    <w:rsid w:val="00763366"/>
    <w:rsid w:val="00764215"/>
    <w:rsid w:val="00764AE0"/>
    <w:rsid w:val="00764D57"/>
    <w:rsid w:val="00764D86"/>
    <w:rsid w:val="00764F0B"/>
    <w:rsid w:val="007652F2"/>
    <w:rsid w:val="00765CCE"/>
    <w:rsid w:val="00766109"/>
    <w:rsid w:val="00766FC3"/>
    <w:rsid w:val="0076750C"/>
    <w:rsid w:val="0077028B"/>
    <w:rsid w:val="00770930"/>
    <w:rsid w:val="00770EBB"/>
    <w:rsid w:val="00770FA9"/>
    <w:rsid w:val="00771355"/>
    <w:rsid w:val="00771EDF"/>
    <w:rsid w:val="007721B2"/>
    <w:rsid w:val="00772C13"/>
    <w:rsid w:val="00773B25"/>
    <w:rsid w:val="00773B4D"/>
    <w:rsid w:val="00773E36"/>
    <w:rsid w:val="007746E3"/>
    <w:rsid w:val="0077648A"/>
    <w:rsid w:val="00777D45"/>
    <w:rsid w:val="00777F03"/>
    <w:rsid w:val="00780B28"/>
    <w:rsid w:val="00780E13"/>
    <w:rsid w:val="0078133B"/>
    <w:rsid w:val="00781597"/>
    <w:rsid w:val="007815C9"/>
    <w:rsid w:val="00781A16"/>
    <w:rsid w:val="00781C50"/>
    <w:rsid w:val="00781EF2"/>
    <w:rsid w:val="007828EB"/>
    <w:rsid w:val="007833C4"/>
    <w:rsid w:val="007844B4"/>
    <w:rsid w:val="007845FD"/>
    <w:rsid w:val="00786961"/>
    <w:rsid w:val="00786FAD"/>
    <w:rsid w:val="00786FE6"/>
    <w:rsid w:val="00787E92"/>
    <w:rsid w:val="00787F0F"/>
    <w:rsid w:val="007901CA"/>
    <w:rsid w:val="007908DC"/>
    <w:rsid w:val="00791749"/>
    <w:rsid w:val="0079198B"/>
    <w:rsid w:val="00791AF6"/>
    <w:rsid w:val="007925F9"/>
    <w:rsid w:val="0079292A"/>
    <w:rsid w:val="00792C89"/>
    <w:rsid w:val="0079471F"/>
    <w:rsid w:val="0079477A"/>
    <w:rsid w:val="00794D59"/>
    <w:rsid w:val="00794F44"/>
    <w:rsid w:val="007951CF"/>
    <w:rsid w:val="00796017"/>
    <w:rsid w:val="00796F2A"/>
    <w:rsid w:val="0079704E"/>
    <w:rsid w:val="007978BF"/>
    <w:rsid w:val="00797E47"/>
    <w:rsid w:val="007A0239"/>
    <w:rsid w:val="007A0F58"/>
    <w:rsid w:val="007A1025"/>
    <w:rsid w:val="007A1754"/>
    <w:rsid w:val="007A1FB6"/>
    <w:rsid w:val="007A2691"/>
    <w:rsid w:val="007A273D"/>
    <w:rsid w:val="007A2DEF"/>
    <w:rsid w:val="007A3371"/>
    <w:rsid w:val="007A3649"/>
    <w:rsid w:val="007A37A2"/>
    <w:rsid w:val="007A5047"/>
    <w:rsid w:val="007A5F6D"/>
    <w:rsid w:val="007A60EA"/>
    <w:rsid w:val="007A74CC"/>
    <w:rsid w:val="007A7FD7"/>
    <w:rsid w:val="007B0B27"/>
    <w:rsid w:val="007B0C74"/>
    <w:rsid w:val="007B128C"/>
    <w:rsid w:val="007B1E30"/>
    <w:rsid w:val="007B2ED6"/>
    <w:rsid w:val="007B3321"/>
    <w:rsid w:val="007B3763"/>
    <w:rsid w:val="007B3AF3"/>
    <w:rsid w:val="007B3DD2"/>
    <w:rsid w:val="007B3F94"/>
    <w:rsid w:val="007B4A70"/>
    <w:rsid w:val="007B4B07"/>
    <w:rsid w:val="007B5538"/>
    <w:rsid w:val="007B5D02"/>
    <w:rsid w:val="007B5D04"/>
    <w:rsid w:val="007B6505"/>
    <w:rsid w:val="007B67E8"/>
    <w:rsid w:val="007B6AFC"/>
    <w:rsid w:val="007B6C9D"/>
    <w:rsid w:val="007B6E93"/>
    <w:rsid w:val="007B7A21"/>
    <w:rsid w:val="007B7B29"/>
    <w:rsid w:val="007C001A"/>
    <w:rsid w:val="007C10F3"/>
    <w:rsid w:val="007C13B4"/>
    <w:rsid w:val="007C1A14"/>
    <w:rsid w:val="007C2A85"/>
    <w:rsid w:val="007C36C7"/>
    <w:rsid w:val="007C4674"/>
    <w:rsid w:val="007C4AD7"/>
    <w:rsid w:val="007C543A"/>
    <w:rsid w:val="007C5886"/>
    <w:rsid w:val="007C61DF"/>
    <w:rsid w:val="007C6261"/>
    <w:rsid w:val="007C62CA"/>
    <w:rsid w:val="007C62EA"/>
    <w:rsid w:val="007C6E8B"/>
    <w:rsid w:val="007C77BC"/>
    <w:rsid w:val="007C77E3"/>
    <w:rsid w:val="007C7C74"/>
    <w:rsid w:val="007C7FB4"/>
    <w:rsid w:val="007D12C0"/>
    <w:rsid w:val="007D2E9F"/>
    <w:rsid w:val="007D3824"/>
    <w:rsid w:val="007D3CFC"/>
    <w:rsid w:val="007D3E32"/>
    <w:rsid w:val="007D548F"/>
    <w:rsid w:val="007D58D4"/>
    <w:rsid w:val="007D5A75"/>
    <w:rsid w:val="007D5BD6"/>
    <w:rsid w:val="007D63EF"/>
    <w:rsid w:val="007D6B92"/>
    <w:rsid w:val="007D7472"/>
    <w:rsid w:val="007D7566"/>
    <w:rsid w:val="007D7E59"/>
    <w:rsid w:val="007E0808"/>
    <w:rsid w:val="007E0870"/>
    <w:rsid w:val="007E1603"/>
    <w:rsid w:val="007E23E7"/>
    <w:rsid w:val="007E33C0"/>
    <w:rsid w:val="007E4526"/>
    <w:rsid w:val="007E5188"/>
    <w:rsid w:val="007E5264"/>
    <w:rsid w:val="007E529F"/>
    <w:rsid w:val="007E6786"/>
    <w:rsid w:val="007E6A34"/>
    <w:rsid w:val="007E7268"/>
    <w:rsid w:val="007F04A0"/>
    <w:rsid w:val="007F0976"/>
    <w:rsid w:val="007F1735"/>
    <w:rsid w:val="007F2638"/>
    <w:rsid w:val="007F2E6B"/>
    <w:rsid w:val="007F36DA"/>
    <w:rsid w:val="007F3FF3"/>
    <w:rsid w:val="007F45C5"/>
    <w:rsid w:val="007F45D8"/>
    <w:rsid w:val="007F48C8"/>
    <w:rsid w:val="007F57FE"/>
    <w:rsid w:val="007F5831"/>
    <w:rsid w:val="007F5B6A"/>
    <w:rsid w:val="007F628C"/>
    <w:rsid w:val="007F6EF0"/>
    <w:rsid w:val="007F70F2"/>
    <w:rsid w:val="007F784C"/>
    <w:rsid w:val="00800BCB"/>
    <w:rsid w:val="00801C2B"/>
    <w:rsid w:val="00803946"/>
    <w:rsid w:val="00804988"/>
    <w:rsid w:val="00805EC1"/>
    <w:rsid w:val="00806CEE"/>
    <w:rsid w:val="00806E68"/>
    <w:rsid w:val="00806FF8"/>
    <w:rsid w:val="0080712A"/>
    <w:rsid w:val="00807AB4"/>
    <w:rsid w:val="008108C1"/>
    <w:rsid w:val="0081193A"/>
    <w:rsid w:val="00812ACC"/>
    <w:rsid w:val="00813886"/>
    <w:rsid w:val="00813DF5"/>
    <w:rsid w:val="00814184"/>
    <w:rsid w:val="00814DA6"/>
    <w:rsid w:val="008163A2"/>
    <w:rsid w:val="00817EA2"/>
    <w:rsid w:val="00822A43"/>
    <w:rsid w:val="00822EC3"/>
    <w:rsid w:val="00824ABC"/>
    <w:rsid w:val="0082639C"/>
    <w:rsid w:val="00826632"/>
    <w:rsid w:val="0082783A"/>
    <w:rsid w:val="0083008D"/>
    <w:rsid w:val="00830675"/>
    <w:rsid w:val="00830ACA"/>
    <w:rsid w:val="00830C3B"/>
    <w:rsid w:val="00830CD8"/>
    <w:rsid w:val="0083175D"/>
    <w:rsid w:val="00831BC8"/>
    <w:rsid w:val="008321A9"/>
    <w:rsid w:val="008321BB"/>
    <w:rsid w:val="00832A11"/>
    <w:rsid w:val="00833453"/>
    <w:rsid w:val="008340AC"/>
    <w:rsid w:val="00834623"/>
    <w:rsid w:val="00834A97"/>
    <w:rsid w:val="008373D2"/>
    <w:rsid w:val="00837478"/>
    <w:rsid w:val="00837C02"/>
    <w:rsid w:val="00840931"/>
    <w:rsid w:val="00841B8C"/>
    <w:rsid w:val="00841F0A"/>
    <w:rsid w:val="0084275A"/>
    <w:rsid w:val="00843625"/>
    <w:rsid w:val="00844B92"/>
    <w:rsid w:val="00845B18"/>
    <w:rsid w:val="0084680B"/>
    <w:rsid w:val="00847B78"/>
    <w:rsid w:val="008513A6"/>
    <w:rsid w:val="008521EA"/>
    <w:rsid w:val="00852949"/>
    <w:rsid w:val="00852D7D"/>
    <w:rsid w:val="00852D8D"/>
    <w:rsid w:val="00853F26"/>
    <w:rsid w:val="008540C7"/>
    <w:rsid w:val="00854DC0"/>
    <w:rsid w:val="00855175"/>
    <w:rsid w:val="008555D3"/>
    <w:rsid w:val="00856581"/>
    <w:rsid w:val="00856CB5"/>
    <w:rsid w:val="0085793E"/>
    <w:rsid w:val="00861C07"/>
    <w:rsid w:val="00861D24"/>
    <w:rsid w:val="00862066"/>
    <w:rsid w:val="00863567"/>
    <w:rsid w:val="0086383E"/>
    <w:rsid w:val="00863F75"/>
    <w:rsid w:val="00864F22"/>
    <w:rsid w:val="00864F57"/>
    <w:rsid w:val="0086571D"/>
    <w:rsid w:val="00865A25"/>
    <w:rsid w:val="00865C05"/>
    <w:rsid w:val="00870056"/>
    <w:rsid w:val="008709CA"/>
    <w:rsid w:val="00870F8B"/>
    <w:rsid w:val="00871257"/>
    <w:rsid w:val="008714EB"/>
    <w:rsid w:val="00871B6C"/>
    <w:rsid w:val="00873608"/>
    <w:rsid w:val="00873C0B"/>
    <w:rsid w:val="0087423C"/>
    <w:rsid w:val="00875ADB"/>
    <w:rsid w:val="00875B9D"/>
    <w:rsid w:val="00876491"/>
    <w:rsid w:val="00876506"/>
    <w:rsid w:val="00876A9F"/>
    <w:rsid w:val="00876D05"/>
    <w:rsid w:val="00876D8F"/>
    <w:rsid w:val="00877E3C"/>
    <w:rsid w:val="008809FD"/>
    <w:rsid w:val="00881451"/>
    <w:rsid w:val="00881AD2"/>
    <w:rsid w:val="00881D21"/>
    <w:rsid w:val="00882989"/>
    <w:rsid w:val="00882B5A"/>
    <w:rsid w:val="00883075"/>
    <w:rsid w:val="00883E03"/>
    <w:rsid w:val="00884119"/>
    <w:rsid w:val="0088427C"/>
    <w:rsid w:val="00885777"/>
    <w:rsid w:val="00885CA3"/>
    <w:rsid w:val="0088696C"/>
    <w:rsid w:val="00887A98"/>
    <w:rsid w:val="00887FE4"/>
    <w:rsid w:val="00890B28"/>
    <w:rsid w:val="00891FE2"/>
    <w:rsid w:val="008934FF"/>
    <w:rsid w:val="008939D8"/>
    <w:rsid w:val="00893F1F"/>
    <w:rsid w:val="00893FC8"/>
    <w:rsid w:val="008947FE"/>
    <w:rsid w:val="00894AA7"/>
    <w:rsid w:val="00894B82"/>
    <w:rsid w:val="00895653"/>
    <w:rsid w:val="00896B21"/>
    <w:rsid w:val="0089706B"/>
    <w:rsid w:val="00897827"/>
    <w:rsid w:val="00897AE4"/>
    <w:rsid w:val="00897F0E"/>
    <w:rsid w:val="008A07EE"/>
    <w:rsid w:val="008A0894"/>
    <w:rsid w:val="008A0E7F"/>
    <w:rsid w:val="008A1B31"/>
    <w:rsid w:val="008A1EBF"/>
    <w:rsid w:val="008A2933"/>
    <w:rsid w:val="008A2B5B"/>
    <w:rsid w:val="008A2F5B"/>
    <w:rsid w:val="008A3541"/>
    <w:rsid w:val="008A41E5"/>
    <w:rsid w:val="008A7A1A"/>
    <w:rsid w:val="008B0564"/>
    <w:rsid w:val="008B0F40"/>
    <w:rsid w:val="008B11ED"/>
    <w:rsid w:val="008B1351"/>
    <w:rsid w:val="008B2977"/>
    <w:rsid w:val="008B3B18"/>
    <w:rsid w:val="008B40B2"/>
    <w:rsid w:val="008B4743"/>
    <w:rsid w:val="008B65EC"/>
    <w:rsid w:val="008B77F2"/>
    <w:rsid w:val="008B7D03"/>
    <w:rsid w:val="008B7FDA"/>
    <w:rsid w:val="008C0C4C"/>
    <w:rsid w:val="008C2507"/>
    <w:rsid w:val="008C3571"/>
    <w:rsid w:val="008C3950"/>
    <w:rsid w:val="008C3E23"/>
    <w:rsid w:val="008C4115"/>
    <w:rsid w:val="008C4316"/>
    <w:rsid w:val="008C489D"/>
    <w:rsid w:val="008C65B8"/>
    <w:rsid w:val="008C6A5A"/>
    <w:rsid w:val="008C7380"/>
    <w:rsid w:val="008C78AE"/>
    <w:rsid w:val="008C7C81"/>
    <w:rsid w:val="008D013E"/>
    <w:rsid w:val="008D04A3"/>
    <w:rsid w:val="008D0BD1"/>
    <w:rsid w:val="008D1542"/>
    <w:rsid w:val="008D1720"/>
    <w:rsid w:val="008D2267"/>
    <w:rsid w:val="008D2287"/>
    <w:rsid w:val="008D573A"/>
    <w:rsid w:val="008D5A4B"/>
    <w:rsid w:val="008D5ACA"/>
    <w:rsid w:val="008D5DA6"/>
    <w:rsid w:val="008D6066"/>
    <w:rsid w:val="008D6DB5"/>
    <w:rsid w:val="008D7CCC"/>
    <w:rsid w:val="008E09E6"/>
    <w:rsid w:val="008E0D40"/>
    <w:rsid w:val="008E0F10"/>
    <w:rsid w:val="008E18E2"/>
    <w:rsid w:val="008E279A"/>
    <w:rsid w:val="008E2C7A"/>
    <w:rsid w:val="008E2DDC"/>
    <w:rsid w:val="008E2F0A"/>
    <w:rsid w:val="008E344A"/>
    <w:rsid w:val="008E37BB"/>
    <w:rsid w:val="008E424E"/>
    <w:rsid w:val="008E4887"/>
    <w:rsid w:val="008E49C8"/>
    <w:rsid w:val="008E4A7F"/>
    <w:rsid w:val="008E59EF"/>
    <w:rsid w:val="008E5A23"/>
    <w:rsid w:val="008E6254"/>
    <w:rsid w:val="008E7527"/>
    <w:rsid w:val="008E76A3"/>
    <w:rsid w:val="008E79FF"/>
    <w:rsid w:val="008E7E01"/>
    <w:rsid w:val="008F01B7"/>
    <w:rsid w:val="008F02BE"/>
    <w:rsid w:val="008F1629"/>
    <w:rsid w:val="008F2200"/>
    <w:rsid w:val="008F28B0"/>
    <w:rsid w:val="008F32C0"/>
    <w:rsid w:val="008F3305"/>
    <w:rsid w:val="008F4E55"/>
    <w:rsid w:val="008F5A13"/>
    <w:rsid w:val="008F6CD0"/>
    <w:rsid w:val="008F72E0"/>
    <w:rsid w:val="008F735A"/>
    <w:rsid w:val="008F7385"/>
    <w:rsid w:val="008F79E8"/>
    <w:rsid w:val="0090058A"/>
    <w:rsid w:val="009008E9"/>
    <w:rsid w:val="00900B5A"/>
    <w:rsid w:val="009012E7"/>
    <w:rsid w:val="00902709"/>
    <w:rsid w:val="00902C60"/>
    <w:rsid w:val="00902DFA"/>
    <w:rsid w:val="00902FDF"/>
    <w:rsid w:val="009030AF"/>
    <w:rsid w:val="00903E15"/>
    <w:rsid w:val="0090415C"/>
    <w:rsid w:val="00905453"/>
    <w:rsid w:val="00905898"/>
    <w:rsid w:val="00906269"/>
    <w:rsid w:val="00906949"/>
    <w:rsid w:val="00906EE7"/>
    <w:rsid w:val="009074FF"/>
    <w:rsid w:val="009079D5"/>
    <w:rsid w:val="00907E69"/>
    <w:rsid w:val="00910ED2"/>
    <w:rsid w:val="00911277"/>
    <w:rsid w:val="00912A14"/>
    <w:rsid w:val="00912E3A"/>
    <w:rsid w:val="0091321E"/>
    <w:rsid w:val="00913241"/>
    <w:rsid w:val="0091326E"/>
    <w:rsid w:val="009136BB"/>
    <w:rsid w:val="009144C5"/>
    <w:rsid w:val="00914FD6"/>
    <w:rsid w:val="00916777"/>
    <w:rsid w:val="0091692F"/>
    <w:rsid w:val="00917556"/>
    <w:rsid w:val="009178FB"/>
    <w:rsid w:val="00917A8D"/>
    <w:rsid w:val="00920E5B"/>
    <w:rsid w:val="009212B4"/>
    <w:rsid w:val="00921943"/>
    <w:rsid w:val="00922672"/>
    <w:rsid w:val="00922EE2"/>
    <w:rsid w:val="00923C26"/>
    <w:rsid w:val="00923F5B"/>
    <w:rsid w:val="00925365"/>
    <w:rsid w:val="00927538"/>
    <w:rsid w:val="00927589"/>
    <w:rsid w:val="00927E2E"/>
    <w:rsid w:val="00931062"/>
    <w:rsid w:val="0093162A"/>
    <w:rsid w:val="009318C0"/>
    <w:rsid w:val="00931D1A"/>
    <w:rsid w:val="00931DCE"/>
    <w:rsid w:val="009321B7"/>
    <w:rsid w:val="00932923"/>
    <w:rsid w:val="0093298F"/>
    <w:rsid w:val="00934654"/>
    <w:rsid w:val="009357A4"/>
    <w:rsid w:val="009359D0"/>
    <w:rsid w:val="00936A16"/>
    <w:rsid w:val="00936EF7"/>
    <w:rsid w:val="009402AE"/>
    <w:rsid w:val="00940578"/>
    <w:rsid w:val="00941124"/>
    <w:rsid w:val="009421FD"/>
    <w:rsid w:val="00942914"/>
    <w:rsid w:val="009430DC"/>
    <w:rsid w:val="00943228"/>
    <w:rsid w:val="0094390D"/>
    <w:rsid w:val="009441F8"/>
    <w:rsid w:val="00944C47"/>
    <w:rsid w:val="0094561C"/>
    <w:rsid w:val="00945A56"/>
    <w:rsid w:val="009463C5"/>
    <w:rsid w:val="009463E0"/>
    <w:rsid w:val="009463F8"/>
    <w:rsid w:val="009466E0"/>
    <w:rsid w:val="00946DBB"/>
    <w:rsid w:val="00947157"/>
    <w:rsid w:val="009475CB"/>
    <w:rsid w:val="00950B0A"/>
    <w:rsid w:val="00951A44"/>
    <w:rsid w:val="00951E09"/>
    <w:rsid w:val="00952055"/>
    <w:rsid w:val="00953C7E"/>
    <w:rsid w:val="00953DF2"/>
    <w:rsid w:val="00954871"/>
    <w:rsid w:val="00954911"/>
    <w:rsid w:val="00954971"/>
    <w:rsid w:val="00955336"/>
    <w:rsid w:val="009566C2"/>
    <w:rsid w:val="00956FFA"/>
    <w:rsid w:val="00957597"/>
    <w:rsid w:val="00957717"/>
    <w:rsid w:val="009577F8"/>
    <w:rsid w:val="00960B7C"/>
    <w:rsid w:val="00960B8F"/>
    <w:rsid w:val="0096195F"/>
    <w:rsid w:val="00961A87"/>
    <w:rsid w:val="009620A8"/>
    <w:rsid w:val="00962C05"/>
    <w:rsid w:val="00963049"/>
    <w:rsid w:val="009636E9"/>
    <w:rsid w:val="00964013"/>
    <w:rsid w:val="00964586"/>
    <w:rsid w:val="0096561E"/>
    <w:rsid w:val="00965DF1"/>
    <w:rsid w:val="00965F1E"/>
    <w:rsid w:val="009666B5"/>
    <w:rsid w:val="00966C98"/>
    <w:rsid w:val="00967700"/>
    <w:rsid w:val="00970C5E"/>
    <w:rsid w:val="00970CE6"/>
    <w:rsid w:val="00971621"/>
    <w:rsid w:val="009725C7"/>
    <w:rsid w:val="00972636"/>
    <w:rsid w:val="00973755"/>
    <w:rsid w:val="00973B1A"/>
    <w:rsid w:val="009757DD"/>
    <w:rsid w:val="00975EA5"/>
    <w:rsid w:val="0097664D"/>
    <w:rsid w:val="00976FFC"/>
    <w:rsid w:val="009774E4"/>
    <w:rsid w:val="0097799B"/>
    <w:rsid w:val="009802FC"/>
    <w:rsid w:val="0098113D"/>
    <w:rsid w:val="009815EA"/>
    <w:rsid w:val="00981CB2"/>
    <w:rsid w:val="00981E33"/>
    <w:rsid w:val="00982E93"/>
    <w:rsid w:val="0098313F"/>
    <w:rsid w:val="00984073"/>
    <w:rsid w:val="009842D4"/>
    <w:rsid w:val="00985CD0"/>
    <w:rsid w:val="0098656B"/>
    <w:rsid w:val="00987580"/>
    <w:rsid w:val="00987E48"/>
    <w:rsid w:val="00987F60"/>
    <w:rsid w:val="00990817"/>
    <w:rsid w:val="009919DE"/>
    <w:rsid w:val="0099286E"/>
    <w:rsid w:val="0099351B"/>
    <w:rsid w:val="009935E5"/>
    <w:rsid w:val="00993710"/>
    <w:rsid w:val="0099422D"/>
    <w:rsid w:val="00994F51"/>
    <w:rsid w:val="00995BD4"/>
    <w:rsid w:val="009963B7"/>
    <w:rsid w:val="00996617"/>
    <w:rsid w:val="00996A46"/>
    <w:rsid w:val="00996C32"/>
    <w:rsid w:val="00996E64"/>
    <w:rsid w:val="00997E51"/>
    <w:rsid w:val="009A0139"/>
    <w:rsid w:val="009A1018"/>
    <w:rsid w:val="009A19C3"/>
    <w:rsid w:val="009A23A9"/>
    <w:rsid w:val="009A2D91"/>
    <w:rsid w:val="009A4269"/>
    <w:rsid w:val="009A46DF"/>
    <w:rsid w:val="009A4781"/>
    <w:rsid w:val="009A4C66"/>
    <w:rsid w:val="009A4D29"/>
    <w:rsid w:val="009A5BFB"/>
    <w:rsid w:val="009A6E13"/>
    <w:rsid w:val="009A6E98"/>
    <w:rsid w:val="009A72F0"/>
    <w:rsid w:val="009A74B1"/>
    <w:rsid w:val="009B000C"/>
    <w:rsid w:val="009B01F3"/>
    <w:rsid w:val="009B133A"/>
    <w:rsid w:val="009B16D4"/>
    <w:rsid w:val="009B23CF"/>
    <w:rsid w:val="009B3726"/>
    <w:rsid w:val="009B384B"/>
    <w:rsid w:val="009B3A7A"/>
    <w:rsid w:val="009B3AB4"/>
    <w:rsid w:val="009B4D5F"/>
    <w:rsid w:val="009B592E"/>
    <w:rsid w:val="009B5B62"/>
    <w:rsid w:val="009B754F"/>
    <w:rsid w:val="009C00B3"/>
    <w:rsid w:val="009C076E"/>
    <w:rsid w:val="009C11FC"/>
    <w:rsid w:val="009C126F"/>
    <w:rsid w:val="009C1A75"/>
    <w:rsid w:val="009C2728"/>
    <w:rsid w:val="009C2B2D"/>
    <w:rsid w:val="009C3A6F"/>
    <w:rsid w:val="009C3B2E"/>
    <w:rsid w:val="009C3B4E"/>
    <w:rsid w:val="009C3C5E"/>
    <w:rsid w:val="009C3CAC"/>
    <w:rsid w:val="009C4B9E"/>
    <w:rsid w:val="009C515B"/>
    <w:rsid w:val="009C5ABA"/>
    <w:rsid w:val="009C5FDC"/>
    <w:rsid w:val="009C6737"/>
    <w:rsid w:val="009C6FA4"/>
    <w:rsid w:val="009C7748"/>
    <w:rsid w:val="009C77D5"/>
    <w:rsid w:val="009D02C2"/>
    <w:rsid w:val="009D02E7"/>
    <w:rsid w:val="009D0BC1"/>
    <w:rsid w:val="009D10B1"/>
    <w:rsid w:val="009D1225"/>
    <w:rsid w:val="009D181D"/>
    <w:rsid w:val="009D2209"/>
    <w:rsid w:val="009D35A1"/>
    <w:rsid w:val="009D48FF"/>
    <w:rsid w:val="009D4E2D"/>
    <w:rsid w:val="009D60C5"/>
    <w:rsid w:val="009D67B3"/>
    <w:rsid w:val="009D72FF"/>
    <w:rsid w:val="009D7982"/>
    <w:rsid w:val="009D7F18"/>
    <w:rsid w:val="009E037A"/>
    <w:rsid w:val="009E0CC5"/>
    <w:rsid w:val="009E1B2F"/>
    <w:rsid w:val="009E23C4"/>
    <w:rsid w:val="009E32B1"/>
    <w:rsid w:val="009E40C2"/>
    <w:rsid w:val="009E45CE"/>
    <w:rsid w:val="009E48E9"/>
    <w:rsid w:val="009E4B24"/>
    <w:rsid w:val="009E4DDE"/>
    <w:rsid w:val="009E4E3B"/>
    <w:rsid w:val="009E5233"/>
    <w:rsid w:val="009E5B02"/>
    <w:rsid w:val="009E6549"/>
    <w:rsid w:val="009E676A"/>
    <w:rsid w:val="009E6817"/>
    <w:rsid w:val="009E69D9"/>
    <w:rsid w:val="009E7134"/>
    <w:rsid w:val="009E7359"/>
    <w:rsid w:val="009F16ED"/>
    <w:rsid w:val="009F289A"/>
    <w:rsid w:val="009F30E2"/>
    <w:rsid w:val="009F3412"/>
    <w:rsid w:val="009F3713"/>
    <w:rsid w:val="009F4003"/>
    <w:rsid w:val="009F41A5"/>
    <w:rsid w:val="009F45DE"/>
    <w:rsid w:val="009F4F73"/>
    <w:rsid w:val="009F676B"/>
    <w:rsid w:val="009F6FF9"/>
    <w:rsid w:val="009F7A68"/>
    <w:rsid w:val="00A00474"/>
    <w:rsid w:val="00A020F0"/>
    <w:rsid w:val="00A0251C"/>
    <w:rsid w:val="00A02A08"/>
    <w:rsid w:val="00A0358B"/>
    <w:rsid w:val="00A042CD"/>
    <w:rsid w:val="00A0533F"/>
    <w:rsid w:val="00A06598"/>
    <w:rsid w:val="00A06924"/>
    <w:rsid w:val="00A06A87"/>
    <w:rsid w:val="00A071DE"/>
    <w:rsid w:val="00A10556"/>
    <w:rsid w:val="00A10A48"/>
    <w:rsid w:val="00A10E9A"/>
    <w:rsid w:val="00A112B3"/>
    <w:rsid w:val="00A1305E"/>
    <w:rsid w:val="00A131F4"/>
    <w:rsid w:val="00A133BD"/>
    <w:rsid w:val="00A1551D"/>
    <w:rsid w:val="00A15C51"/>
    <w:rsid w:val="00A16572"/>
    <w:rsid w:val="00A20AE8"/>
    <w:rsid w:val="00A22437"/>
    <w:rsid w:val="00A22528"/>
    <w:rsid w:val="00A225C8"/>
    <w:rsid w:val="00A2292B"/>
    <w:rsid w:val="00A22993"/>
    <w:rsid w:val="00A238C9"/>
    <w:rsid w:val="00A2405F"/>
    <w:rsid w:val="00A2489D"/>
    <w:rsid w:val="00A26140"/>
    <w:rsid w:val="00A27339"/>
    <w:rsid w:val="00A276B4"/>
    <w:rsid w:val="00A27B00"/>
    <w:rsid w:val="00A30326"/>
    <w:rsid w:val="00A30B0E"/>
    <w:rsid w:val="00A31001"/>
    <w:rsid w:val="00A310E3"/>
    <w:rsid w:val="00A31210"/>
    <w:rsid w:val="00A33397"/>
    <w:rsid w:val="00A33F42"/>
    <w:rsid w:val="00A33FDE"/>
    <w:rsid w:val="00A352DF"/>
    <w:rsid w:val="00A37DB4"/>
    <w:rsid w:val="00A41550"/>
    <w:rsid w:val="00A41B7D"/>
    <w:rsid w:val="00A423D8"/>
    <w:rsid w:val="00A4248C"/>
    <w:rsid w:val="00A42694"/>
    <w:rsid w:val="00A432A4"/>
    <w:rsid w:val="00A433D5"/>
    <w:rsid w:val="00A43726"/>
    <w:rsid w:val="00A438F5"/>
    <w:rsid w:val="00A444FF"/>
    <w:rsid w:val="00A446FC"/>
    <w:rsid w:val="00A447C7"/>
    <w:rsid w:val="00A4502C"/>
    <w:rsid w:val="00A458B7"/>
    <w:rsid w:val="00A45915"/>
    <w:rsid w:val="00A45B82"/>
    <w:rsid w:val="00A45B97"/>
    <w:rsid w:val="00A46EE1"/>
    <w:rsid w:val="00A513F2"/>
    <w:rsid w:val="00A51D5C"/>
    <w:rsid w:val="00A5224D"/>
    <w:rsid w:val="00A526FA"/>
    <w:rsid w:val="00A53054"/>
    <w:rsid w:val="00A53A2C"/>
    <w:rsid w:val="00A541C8"/>
    <w:rsid w:val="00A54391"/>
    <w:rsid w:val="00A54AF2"/>
    <w:rsid w:val="00A57388"/>
    <w:rsid w:val="00A575D2"/>
    <w:rsid w:val="00A60677"/>
    <w:rsid w:val="00A60D18"/>
    <w:rsid w:val="00A60D36"/>
    <w:rsid w:val="00A60D81"/>
    <w:rsid w:val="00A60FF5"/>
    <w:rsid w:val="00A62A95"/>
    <w:rsid w:val="00A62DCA"/>
    <w:rsid w:val="00A62DF4"/>
    <w:rsid w:val="00A63012"/>
    <w:rsid w:val="00A6351D"/>
    <w:rsid w:val="00A640AE"/>
    <w:rsid w:val="00A6446E"/>
    <w:rsid w:val="00A64CCD"/>
    <w:rsid w:val="00A6595C"/>
    <w:rsid w:val="00A65B33"/>
    <w:rsid w:val="00A66322"/>
    <w:rsid w:val="00A66789"/>
    <w:rsid w:val="00A66DB1"/>
    <w:rsid w:val="00A66FCC"/>
    <w:rsid w:val="00A67E25"/>
    <w:rsid w:val="00A70F78"/>
    <w:rsid w:val="00A7141C"/>
    <w:rsid w:val="00A71959"/>
    <w:rsid w:val="00A734D5"/>
    <w:rsid w:val="00A73B91"/>
    <w:rsid w:val="00A73D00"/>
    <w:rsid w:val="00A74404"/>
    <w:rsid w:val="00A74DBB"/>
    <w:rsid w:val="00A751E1"/>
    <w:rsid w:val="00A77EF1"/>
    <w:rsid w:val="00A81737"/>
    <w:rsid w:val="00A8221C"/>
    <w:rsid w:val="00A83235"/>
    <w:rsid w:val="00A83678"/>
    <w:rsid w:val="00A836ED"/>
    <w:rsid w:val="00A8465C"/>
    <w:rsid w:val="00A84CB6"/>
    <w:rsid w:val="00A85C55"/>
    <w:rsid w:val="00A85F62"/>
    <w:rsid w:val="00A86C57"/>
    <w:rsid w:val="00A87F73"/>
    <w:rsid w:val="00A9117F"/>
    <w:rsid w:val="00A919F5"/>
    <w:rsid w:val="00A91A41"/>
    <w:rsid w:val="00A91E89"/>
    <w:rsid w:val="00A928BE"/>
    <w:rsid w:val="00A93202"/>
    <w:rsid w:val="00A955F3"/>
    <w:rsid w:val="00A9642C"/>
    <w:rsid w:val="00A9686F"/>
    <w:rsid w:val="00A96C73"/>
    <w:rsid w:val="00A97723"/>
    <w:rsid w:val="00A9798F"/>
    <w:rsid w:val="00AA04E7"/>
    <w:rsid w:val="00AA0865"/>
    <w:rsid w:val="00AA0964"/>
    <w:rsid w:val="00AA0A2E"/>
    <w:rsid w:val="00AA27B0"/>
    <w:rsid w:val="00AA2A3B"/>
    <w:rsid w:val="00AA2DCA"/>
    <w:rsid w:val="00AA3830"/>
    <w:rsid w:val="00AA4150"/>
    <w:rsid w:val="00AA4417"/>
    <w:rsid w:val="00AA4EFB"/>
    <w:rsid w:val="00AA4FC0"/>
    <w:rsid w:val="00AA57F6"/>
    <w:rsid w:val="00AA5ABB"/>
    <w:rsid w:val="00AA5FE4"/>
    <w:rsid w:val="00AB05CF"/>
    <w:rsid w:val="00AB2410"/>
    <w:rsid w:val="00AB2B9B"/>
    <w:rsid w:val="00AB2E81"/>
    <w:rsid w:val="00AB4074"/>
    <w:rsid w:val="00AB4891"/>
    <w:rsid w:val="00AB50DE"/>
    <w:rsid w:val="00AB530C"/>
    <w:rsid w:val="00AB5535"/>
    <w:rsid w:val="00AB5DF4"/>
    <w:rsid w:val="00AC0133"/>
    <w:rsid w:val="00AC0A7D"/>
    <w:rsid w:val="00AC0BCB"/>
    <w:rsid w:val="00AC0F65"/>
    <w:rsid w:val="00AC1512"/>
    <w:rsid w:val="00AC1A64"/>
    <w:rsid w:val="00AC2DAB"/>
    <w:rsid w:val="00AC3D44"/>
    <w:rsid w:val="00AC3EBC"/>
    <w:rsid w:val="00AC48B8"/>
    <w:rsid w:val="00AC52AF"/>
    <w:rsid w:val="00AC6566"/>
    <w:rsid w:val="00AC67EC"/>
    <w:rsid w:val="00AC723A"/>
    <w:rsid w:val="00AC78A2"/>
    <w:rsid w:val="00AD05A5"/>
    <w:rsid w:val="00AD0995"/>
    <w:rsid w:val="00AD0CC7"/>
    <w:rsid w:val="00AD10DC"/>
    <w:rsid w:val="00AD16A4"/>
    <w:rsid w:val="00AD1E68"/>
    <w:rsid w:val="00AD2E65"/>
    <w:rsid w:val="00AD3BAF"/>
    <w:rsid w:val="00AD400C"/>
    <w:rsid w:val="00AD40D6"/>
    <w:rsid w:val="00AD43E0"/>
    <w:rsid w:val="00AD4448"/>
    <w:rsid w:val="00AD469C"/>
    <w:rsid w:val="00AD4BBA"/>
    <w:rsid w:val="00AD4E9B"/>
    <w:rsid w:val="00AD50CB"/>
    <w:rsid w:val="00AD5C76"/>
    <w:rsid w:val="00AD5CA0"/>
    <w:rsid w:val="00AD6B5F"/>
    <w:rsid w:val="00AD79A9"/>
    <w:rsid w:val="00AE0068"/>
    <w:rsid w:val="00AE0E1C"/>
    <w:rsid w:val="00AE1044"/>
    <w:rsid w:val="00AE1D54"/>
    <w:rsid w:val="00AE3C9D"/>
    <w:rsid w:val="00AE3E9B"/>
    <w:rsid w:val="00AE41DB"/>
    <w:rsid w:val="00AE4218"/>
    <w:rsid w:val="00AE4844"/>
    <w:rsid w:val="00AE51D3"/>
    <w:rsid w:val="00AE53DA"/>
    <w:rsid w:val="00AE6BC7"/>
    <w:rsid w:val="00AF0701"/>
    <w:rsid w:val="00AF094D"/>
    <w:rsid w:val="00AF13D7"/>
    <w:rsid w:val="00AF167B"/>
    <w:rsid w:val="00AF253E"/>
    <w:rsid w:val="00AF25AE"/>
    <w:rsid w:val="00AF30F7"/>
    <w:rsid w:val="00AF3E37"/>
    <w:rsid w:val="00AF4BB6"/>
    <w:rsid w:val="00AF4E5F"/>
    <w:rsid w:val="00AF4F1C"/>
    <w:rsid w:val="00AF597E"/>
    <w:rsid w:val="00AF59BC"/>
    <w:rsid w:val="00AF59CD"/>
    <w:rsid w:val="00AF61DA"/>
    <w:rsid w:val="00AF6A1B"/>
    <w:rsid w:val="00AF7AC4"/>
    <w:rsid w:val="00B01166"/>
    <w:rsid w:val="00B01A20"/>
    <w:rsid w:val="00B01B0B"/>
    <w:rsid w:val="00B022C2"/>
    <w:rsid w:val="00B026C2"/>
    <w:rsid w:val="00B026E2"/>
    <w:rsid w:val="00B027A6"/>
    <w:rsid w:val="00B0322E"/>
    <w:rsid w:val="00B03CD3"/>
    <w:rsid w:val="00B03D30"/>
    <w:rsid w:val="00B03E1B"/>
    <w:rsid w:val="00B0435C"/>
    <w:rsid w:val="00B06D6E"/>
    <w:rsid w:val="00B07127"/>
    <w:rsid w:val="00B07CC7"/>
    <w:rsid w:val="00B104B2"/>
    <w:rsid w:val="00B1050F"/>
    <w:rsid w:val="00B11261"/>
    <w:rsid w:val="00B118FF"/>
    <w:rsid w:val="00B127F0"/>
    <w:rsid w:val="00B129D2"/>
    <w:rsid w:val="00B12A48"/>
    <w:rsid w:val="00B138CE"/>
    <w:rsid w:val="00B139AF"/>
    <w:rsid w:val="00B1595D"/>
    <w:rsid w:val="00B1695F"/>
    <w:rsid w:val="00B16F30"/>
    <w:rsid w:val="00B201AE"/>
    <w:rsid w:val="00B214F8"/>
    <w:rsid w:val="00B21682"/>
    <w:rsid w:val="00B21DF6"/>
    <w:rsid w:val="00B22C9F"/>
    <w:rsid w:val="00B22F9D"/>
    <w:rsid w:val="00B23254"/>
    <w:rsid w:val="00B2428D"/>
    <w:rsid w:val="00B24914"/>
    <w:rsid w:val="00B249CD"/>
    <w:rsid w:val="00B24D05"/>
    <w:rsid w:val="00B25187"/>
    <w:rsid w:val="00B26139"/>
    <w:rsid w:val="00B268EE"/>
    <w:rsid w:val="00B27186"/>
    <w:rsid w:val="00B31C5A"/>
    <w:rsid w:val="00B31CDB"/>
    <w:rsid w:val="00B32369"/>
    <w:rsid w:val="00B330C2"/>
    <w:rsid w:val="00B347DA"/>
    <w:rsid w:val="00B34941"/>
    <w:rsid w:val="00B34C79"/>
    <w:rsid w:val="00B35F31"/>
    <w:rsid w:val="00B35F7D"/>
    <w:rsid w:val="00B368D7"/>
    <w:rsid w:val="00B373D5"/>
    <w:rsid w:val="00B375F9"/>
    <w:rsid w:val="00B40928"/>
    <w:rsid w:val="00B42F8C"/>
    <w:rsid w:val="00B43428"/>
    <w:rsid w:val="00B443A7"/>
    <w:rsid w:val="00B45178"/>
    <w:rsid w:val="00B452A2"/>
    <w:rsid w:val="00B45384"/>
    <w:rsid w:val="00B45E4E"/>
    <w:rsid w:val="00B45EC7"/>
    <w:rsid w:val="00B46D93"/>
    <w:rsid w:val="00B47996"/>
    <w:rsid w:val="00B47A1F"/>
    <w:rsid w:val="00B47C55"/>
    <w:rsid w:val="00B50BA9"/>
    <w:rsid w:val="00B5184A"/>
    <w:rsid w:val="00B51DF3"/>
    <w:rsid w:val="00B52515"/>
    <w:rsid w:val="00B525CA"/>
    <w:rsid w:val="00B52632"/>
    <w:rsid w:val="00B53757"/>
    <w:rsid w:val="00B53AEA"/>
    <w:rsid w:val="00B54338"/>
    <w:rsid w:val="00B55B96"/>
    <w:rsid w:val="00B57717"/>
    <w:rsid w:val="00B57B67"/>
    <w:rsid w:val="00B57E96"/>
    <w:rsid w:val="00B610C2"/>
    <w:rsid w:val="00B611DE"/>
    <w:rsid w:val="00B62306"/>
    <w:rsid w:val="00B62A44"/>
    <w:rsid w:val="00B6372D"/>
    <w:rsid w:val="00B6399E"/>
    <w:rsid w:val="00B63FCA"/>
    <w:rsid w:val="00B64C37"/>
    <w:rsid w:val="00B654C1"/>
    <w:rsid w:val="00B6679C"/>
    <w:rsid w:val="00B67890"/>
    <w:rsid w:val="00B702A5"/>
    <w:rsid w:val="00B7080E"/>
    <w:rsid w:val="00B718A7"/>
    <w:rsid w:val="00B71ADF"/>
    <w:rsid w:val="00B71DD5"/>
    <w:rsid w:val="00B71F5B"/>
    <w:rsid w:val="00B7200B"/>
    <w:rsid w:val="00B720C8"/>
    <w:rsid w:val="00B7278B"/>
    <w:rsid w:val="00B72A5F"/>
    <w:rsid w:val="00B73276"/>
    <w:rsid w:val="00B75F6A"/>
    <w:rsid w:val="00B77C0A"/>
    <w:rsid w:val="00B80322"/>
    <w:rsid w:val="00B80573"/>
    <w:rsid w:val="00B80822"/>
    <w:rsid w:val="00B80FF4"/>
    <w:rsid w:val="00B8112F"/>
    <w:rsid w:val="00B820A9"/>
    <w:rsid w:val="00B82974"/>
    <w:rsid w:val="00B83EF0"/>
    <w:rsid w:val="00B84FF1"/>
    <w:rsid w:val="00B85335"/>
    <w:rsid w:val="00B854D2"/>
    <w:rsid w:val="00B85EAB"/>
    <w:rsid w:val="00B86221"/>
    <w:rsid w:val="00B86E3A"/>
    <w:rsid w:val="00B87955"/>
    <w:rsid w:val="00B87EA8"/>
    <w:rsid w:val="00B90EB6"/>
    <w:rsid w:val="00B91336"/>
    <w:rsid w:val="00B9137F"/>
    <w:rsid w:val="00B914D9"/>
    <w:rsid w:val="00B91B98"/>
    <w:rsid w:val="00B9202C"/>
    <w:rsid w:val="00B92CD8"/>
    <w:rsid w:val="00B931DB"/>
    <w:rsid w:val="00B93B5D"/>
    <w:rsid w:val="00B94E31"/>
    <w:rsid w:val="00B960E7"/>
    <w:rsid w:val="00B96A00"/>
    <w:rsid w:val="00B96C37"/>
    <w:rsid w:val="00B96D5E"/>
    <w:rsid w:val="00B97A78"/>
    <w:rsid w:val="00B97CEB"/>
    <w:rsid w:val="00BA1FB6"/>
    <w:rsid w:val="00BA2327"/>
    <w:rsid w:val="00BA3656"/>
    <w:rsid w:val="00BA4208"/>
    <w:rsid w:val="00BA44BC"/>
    <w:rsid w:val="00BA470D"/>
    <w:rsid w:val="00BA4EF6"/>
    <w:rsid w:val="00BA5CC4"/>
    <w:rsid w:val="00BA6141"/>
    <w:rsid w:val="00BA6696"/>
    <w:rsid w:val="00BA7996"/>
    <w:rsid w:val="00BA7E31"/>
    <w:rsid w:val="00BB0E1D"/>
    <w:rsid w:val="00BB131D"/>
    <w:rsid w:val="00BB272D"/>
    <w:rsid w:val="00BB31FD"/>
    <w:rsid w:val="00BB4D04"/>
    <w:rsid w:val="00BB636F"/>
    <w:rsid w:val="00BB7100"/>
    <w:rsid w:val="00BB7C07"/>
    <w:rsid w:val="00BB7E0E"/>
    <w:rsid w:val="00BC04E9"/>
    <w:rsid w:val="00BC05B5"/>
    <w:rsid w:val="00BC0845"/>
    <w:rsid w:val="00BC1070"/>
    <w:rsid w:val="00BC2186"/>
    <w:rsid w:val="00BC23E1"/>
    <w:rsid w:val="00BC2572"/>
    <w:rsid w:val="00BC3771"/>
    <w:rsid w:val="00BC3A16"/>
    <w:rsid w:val="00BC3F58"/>
    <w:rsid w:val="00BC41BE"/>
    <w:rsid w:val="00BC4337"/>
    <w:rsid w:val="00BC4997"/>
    <w:rsid w:val="00BC4B7E"/>
    <w:rsid w:val="00BC4EED"/>
    <w:rsid w:val="00BC504F"/>
    <w:rsid w:val="00BC5291"/>
    <w:rsid w:val="00BC5570"/>
    <w:rsid w:val="00BC55AF"/>
    <w:rsid w:val="00BC6198"/>
    <w:rsid w:val="00BC6911"/>
    <w:rsid w:val="00BC6FF3"/>
    <w:rsid w:val="00BC7020"/>
    <w:rsid w:val="00BD0471"/>
    <w:rsid w:val="00BD1516"/>
    <w:rsid w:val="00BD1561"/>
    <w:rsid w:val="00BD29FE"/>
    <w:rsid w:val="00BD3C47"/>
    <w:rsid w:val="00BD3CD1"/>
    <w:rsid w:val="00BD4141"/>
    <w:rsid w:val="00BD4371"/>
    <w:rsid w:val="00BD5A06"/>
    <w:rsid w:val="00BD768C"/>
    <w:rsid w:val="00BD79D3"/>
    <w:rsid w:val="00BD7EDF"/>
    <w:rsid w:val="00BE03A0"/>
    <w:rsid w:val="00BE0D28"/>
    <w:rsid w:val="00BE17F9"/>
    <w:rsid w:val="00BE1B31"/>
    <w:rsid w:val="00BE2640"/>
    <w:rsid w:val="00BE2C5D"/>
    <w:rsid w:val="00BE2E00"/>
    <w:rsid w:val="00BE32C0"/>
    <w:rsid w:val="00BE4BFD"/>
    <w:rsid w:val="00BE56CD"/>
    <w:rsid w:val="00BE5D79"/>
    <w:rsid w:val="00BE6842"/>
    <w:rsid w:val="00BE6D8D"/>
    <w:rsid w:val="00BF0E65"/>
    <w:rsid w:val="00BF1035"/>
    <w:rsid w:val="00BF1B9A"/>
    <w:rsid w:val="00BF2855"/>
    <w:rsid w:val="00BF32C2"/>
    <w:rsid w:val="00BF3A7A"/>
    <w:rsid w:val="00BF3D3F"/>
    <w:rsid w:val="00BF46F0"/>
    <w:rsid w:val="00BF47AE"/>
    <w:rsid w:val="00BF5296"/>
    <w:rsid w:val="00BF5520"/>
    <w:rsid w:val="00BF6479"/>
    <w:rsid w:val="00BF6500"/>
    <w:rsid w:val="00BF6AA6"/>
    <w:rsid w:val="00BF6BB3"/>
    <w:rsid w:val="00BF79AA"/>
    <w:rsid w:val="00BF7EEC"/>
    <w:rsid w:val="00C01395"/>
    <w:rsid w:val="00C0159A"/>
    <w:rsid w:val="00C017CF"/>
    <w:rsid w:val="00C018C4"/>
    <w:rsid w:val="00C03569"/>
    <w:rsid w:val="00C042D2"/>
    <w:rsid w:val="00C046DB"/>
    <w:rsid w:val="00C05085"/>
    <w:rsid w:val="00C067FC"/>
    <w:rsid w:val="00C06A00"/>
    <w:rsid w:val="00C078CF"/>
    <w:rsid w:val="00C07956"/>
    <w:rsid w:val="00C07D0D"/>
    <w:rsid w:val="00C118D4"/>
    <w:rsid w:val="00C122F4"/>
    <w:rsid w:val="00C140C8"/>
    <w:rsid w:val="00C14429"/>
    <w:rsid w:val="00C14493"/>
    <w:rsid w:val="00C1470A"/>
    <w:rsid w:val="00C14CF9"/>
    <w:rsid w:val="00C158FF"/>
    <w:rsid w:val="00C15EB5"/>
    <w:rsid w:val="00C16439"/>
    <w:rsid w:val="00C169C6"/>
    <w:rsid w:val="00C171DE"/>
    <w:rsid w:val="00C17AA9"/>
    <w:rsid w:val="00C17FB2"/>
    <w:rsid w:val="00C20801"/>
    <w:rsid w:val="00C20FD1"/>
    <w:rsid w:val="00C21005"/>
    <w:rsid w:val="00C217C9"/>
    <w:rsid w:val="00C21A8D"/>
    <w:rsid w:val="00C21D51"/>
    <w:rsid w:val="00C22277"/>
    <w:rsid w:val="00C224D8"/>
    <w:rsid w:val="00C23F8D"/>
    <w:rsid w:val="00C24EAF"/>
    <w:rsid w:val="00C2565A"/>
    <w:rsid w:val="00C2653F"/>
    <w:rsid w:val="00C2692A"/>
    <w:rsid w:val="00C30007"/>
    <w:rsid w:val="00C3037D"/>
    <w:rsid w:val="00C30C10"/>
    <w:rsid w:val="00C310FD"/>
    <w:rsid w:val="00C3121A"/>
    <w:rsid w:val="00C31BF9"/>
    <w:rsid w:val="00C32583"/>
    <w:rsid w:val="00C35445"/>
    <w:rsid w:val="00C35581"/>
    <w:rsid w:val="00C3584E"/>
    <w:rsid w:val="00C3713E"/>
    <w:rsid w:val="00C3723B"/>
    <w:rsid w:val="00C3728F"/>
    <w:rsid w:val="00C40F37"/>
    <w:rsid w:val="00C4176C"/>
    <w:rsid w:val="00C4203F"/>
    <w:rsid w:val="00C421F0"/>
    <w:rsid w:val="00C42436"/>
    <w:rsid w:val="00C424B0"/>
    <w:rsid w:val="00C42D36"/>
    <w:rsid w:val="00C42E18"/>
    <w:rsid w:val="00C44B48"/>
    <w:rsid w:val="00C44EAD"/>
    <w:rsid w:val="00C45571"/>
    <w:rsid w:val="00C460DB"/>
    <w:rsid w:val="00C4631F"/>
    <w:rsid w:val="00C47162"/>
    <w:rsid w:val="00C47596"/>
    <w:rsid w:val="00C478CB"/>
    <w:rsid w:val="00C47A2C"/>
    <w:rsid w:val="00C50726"/>
    <w:rsid w:val="00C50A43"/>
    <w:rsid w:val="00C50D91"/>
    <w:rsid w:val="00C5112A"/>
    <w:rsid w:val="00C5141A"/>
    <w:rsid w:val="00C5165D"/>
    <w:rsid w:val="00C523C8"/>
    <w:rsid w:val="00C540F6"/>
    <w:rsid w:val="00C543D2"/>
    <w:rsid w:val="00C543FE"/>
    <w:rsid w:val="00C55993"/>
    <w:rsid w:val="00C55E9F"/>
    <w:rsid w:val="00C56CDD"/>
    <w:rsid w:val="00C571FB"/>
    <w:rsid w:val="00C602C0"/>
    <w:rsid w:val="00C60D4F"/>
    <w:rsid w:val="00C616DD"/>
    <w:rsid w:val="00C64807"/>
    <w:rsid w:val="00C64B49"/>
    <w:rsid w:val="00C64CEC"/>
    <w:rsid w:val="00C664C5"/>
    <w:rsid w:val="00C666BA"/>
    <w:rsid w:val="00C67077"/>
    <w:rsid w:val="00C671F8"/>
    <w:rsid w:val="00C7069C"/>
    <w:rsid w:val="00C7116F"/>
    <w:rsid w:val="00C71EBE"/>
    <w:rsid w:val="00C723E2"/>
    <w:rsid w:val="00C7279B"/>
    <w:rsid w:val="00C727F9"/>
    <w:rsid w:val="00C72982"/>
    <w:rsid w:val="00C72E32"/>
    <w:rsid w:val="00C7372D"/>
    <w:rsid w:val="00C73D75"/>
    <w:rsid w:val="00C73F7B"/>
    <w:rsid w:val="00C74700"/>
    <w:rsid w:val="00C74B3E"/>
    <w:rsid w:val="00C74F29"/>
    <w:rsid w:val="00C75055"/>
    <w:rsid w:val="00C750C9"/>
    <w:rsid w:val="00C75167"/>
    <w:rsid w:val="00C752AE"/>
    <w:rsid w:val="00C75947"/>
    <w:rsid w:val="00C760CD"/>
    <w:rsid w:val="00C761F6"/>
    <w:rsid w:val="00C77170"/>
    <w:rsid w:val="00C7747C"/>
    <w:rsid w:val="00C801E0"/>
    <w:rsid w:val="00C80428"/>
    <w:rsid w:val="00C806AD"/>
    <w:rsid w:val="00C80FF0"/>
    <w:rsid w:val="00C8136E"/>
    <w:rsid w:val="00C824FC"/>
    <w:rsid w:val="00C82A76"/>
    <w:rsid w:val="00C836D4"/>
    <w:rsid w:val="00C837B5"/>
    <w:rsid w:val="00C8413F"/>
    <w:rsid w:val="00C8497B"/>
    <w:rsid w:val="00C8543D"/>
    <w:rsid w:val="00C85D7A"/>
    <w:rsid w:val="00C86BEE"/>
    <w:rsid w:val="00C8756A"/>
    <w:rsid w:val="00C87975"/>
    <w:rsid w:val="00C87DE1"/>
    <w:rsid w:val="00C90597"/>
    <w:rsid w:val="00C92797"/>
    <w:rsid w:val="00C93359"/>
    <w:rsid w:val="00C933FA"/>
    <w:rsid w:val="00C939DA"/>
    <w:rsid w:val="00C94105"/>
    <w:rsid w:val="00C942AA"/>
    <w:rsid w:val="00C94D96"/>
    <w:rsid w:val="00C954B7"/>
    <w:rsid w:val="00C95702"/>
    <w:rsid w:val="00C958BD"/>
    <w:rsid w:val="00C96381"/>
    <w:rsid w:val="00C964BE"/>
    <w:rsid w:val="00C9690E"/>
    <w:rsid w:val="00C970E8"/>
    <w:rsid w:val="00C97579"/>
    <w:rsid w:val="00C97E4B"/>
    <w:rsid w:val="00CA0062"/>
    <w:rsid w:val="00CA0416"/>
    <w:rsid w:val="00CA0824"/>
    <w:rsid w:val="00CA0D6F"/>
    <w:rsid w:val="00CA2D5F"/>
    <w:rsid w:val="00CA2D8B"/>
    <w:rsid w:val="00CA2ED5"/>
    <w:rsid w:val="00CA341C"/>
    <w:rsid w:val="00CA71E7"/>
    <w:rsid w:val="00CB240E"/>
    <w:rsid w:val="00CB2D38"/>
    <w:rsid w:val="00CB3596"/>
    <w:rsid w:val="00CB3E7F"/>
    <w:rsid w:val="00CB41D9"/>
    <w:rsid w:val="00CB428E"/>
    <w:rsid w:val="00CB4676"/>
    <w:rsid w:val="00CB4F76"/>
    <w:rsid w:val="00CB5AB1"/>
    <w:rsid w:val="00CB6157"/>
    <w:rsid w:val="00CB622C"/>
    <w:rsid w:val="00CB76CF"/>
    <w:rsid w:val="00CB7B6E"/>
    <w:rsid w:val="00CB7F1B"/>
    <w:rsid w:val="00CC002E"/>
    <w:rsid w:val="00CC0104"/>
    <w:rsid w:val="00CC0F33"/>
    <w:rsid w:val="00CC2288"/>
    <w:rsid w:val="00CC292B"/>
    <w:rsid w:val="00CC3400"/>
    <w:rsid w:val="00CC4B4B"/>
    <w:rsid w:val="00CC5D86"/>
    <w:rsid w:val="00CC63F4"/>
    <w:rsid w:val="00CC71E9"/>
    <w:rsid w:val="00CC7B38"/>
    <w:rsid w:val="00CC7F40"/>
    <w:rsid w:val="00CD03F0"/>
    <w:rsid w:val="00CD087B"/>
    <w:rsid w:val="00CD115F"/>
    <w:rsid w:val="00CD13A6"/>
    <w:rsid w:val="00CD2034"/>
    <w:rsid w:val="00CD2BD1"/>
    <w:rsid w:val="00CD3010"/>
    <w:rsid w:val="00CD31D4"/>
    <w:rsid w:val="00CD332B"/>
    <w:rsid w:val="00CD38D7"/>
    <w:rsid w:val="00CD46F5"/>
    <w:rsid w:val="00CD4C1A"/>
    <w:rsid w:val="00CD63E2"/>
    <w:rsid w:val="00CD7994"/>
    <w:rsid w:val="00CD7E10"/>
    <w:rsid w:val="00CE1959"/>
    <w:rsid w:val="00CE1C47"/>
    <w:rsid w:val="00CE297E"/>
    <w:rsid w:val="00CE2FF0"/>
    <w:rsid w:val="00CE3094"/>
    <w:rsid w:val="00CE4234"/>
    <w:rsid w:val="00CE5583"/>
    <w:rsid w:val="00CE5635"/>
    <w:rsid w:val="00CE5BEC"/>
    <w:rsid w:val="00CE63EE"/>
    <w:rsid w:val="00CE68EC"/>
    <w:rsid w:val="00CE6A5D"/>
    <w:rsid w:val="00CE6BA7"/>
    <w:rsid w:val="00CE720E"/>
    <w:rsid w:val="00CE76AE"/>
    <w:rsid w:val="00CE79C2"/>
    <w:rsid w:val="00CF0E5B"/>
    <w:rsid w:val="00CF248E"/>
    <w:rsid w:val="00CF41EC"/>
    <w:rsid w:val="00CF57B3"/>
    <w:rsid w:val="00CF7179"/>
    <w:rsid w:val="00CF72C7"/>
    <w:rsid w:val="00CF7832"/>
    <w:rsid w:val="00D00182"/>
    <w:rsid w:val="00D006F0"/>
    <w:rsid w:val="00D011B8"/>
    <w:rsid w:val="00D01BF9"/>
    <w:rsid w:val="00D01CD2"/>
    <w:rsid w:val="00D02058"/>
    <w:rsid w:val="00D024A7"/>
    <w:rsid w:val="00D032AD"/>
    <w:rsid w:val="00D034E6"/>
    <w:rsid w:val="00D03A90"/>
    <w:rsid w:val="00D04039"/>
    <w:rsid w:val="00D040AC"/>
    <w:rsid w:val="00D04C4E"/>
    <w:rsid w:val="00D056C4"/>
    <w:rsid w:val="00D05D3F"/>
    <w:rsid w:val="00D05DC8"/>
    <w:rsid w:val="00D061CE"/>
    <w:rsid w:val="00D0637C"/>
    <w:rsid w:val="00D07CD4"/>
    <w:rsid w:val="00D10124"/>
    <w:rsid w:val="00D10ACD"/>
    <w:rsid w:val="00D10F70"/>
    <w:rsid w:val="00D11187"/>
    <w:rsid w:val="00D112E3"/>
    <w:rsid w:val="00D125BB"/>
    <w:rsid w:val="00D128DB"/>
    <w:rsid w:val="00D1398D"/>
    <w:rsid w:val="00D13FB8"/>
    <w:rsid w:val="00D14848"/>
    <w:rsid w:val="00D15420"/>
    <w:rsid w:val="00D170DB"/>
    <w:rsid w:val="00D20C76"/>
    <w:rsid w:val="00D20ED4"/>
    <w:rsid w:val="00D21D75"/>
    <w:rsid w:val="00D22026"/>
    <w:rsid w:val="00D2338A"/>
    <w:rsid w:val="00D23522"/>
    <w:rsid w:val="00D24427"/>
    <w:rsid w:val="00D25043"/>
    <w:rsid w:val="00D25F82"/>
    <w:rsid w:val="00D26A1A"/>
    <w:rsid w:val="00D274D0"/>
    <w:rsid w:val="00D27BAA"/>
    <w:rsid w:val="00D27DB6"/>
    <w:rsid w:val="00D30033"/>
    <w:rsid w:val="00D301F6"/>
    <w:rsid w:val="00D32B34"/>
    <w:rsid w:val="00D3334B"/>
    <w:rsid w:val="00D333F1"/>
    <w:rsid w:val="00D35581"/>
    <w:rsid w:val="00D357BC"/>
    <w:rsid w:val="00D35C87"/>
    <w:rsid w:val="00D36403"/>
    <w:rsid w:val="00D37151"/>
    <w:rsid w:val="00D372C1"/>
    <w:rsid w:val="00D37D6F"/>
    <w:rsid w:val="00D4005D"/>
    <w:rsid w:val="00D40ADC"/>
    <w:rsid w:val="00D41213"/>
    <w:rsid w:val="00D419D5"/>
    <w:rsid w:val="00D4206A"/>
    <w:rsid w:val="00D44211"/>
    <w:rsid w:val="00D443D2"/>
    <w:rsid w:val="00D4484D"/>
    <w:rsid w:val="00D452D6"/>
    <w:rsid w:val="00D45D8F"/>
    <w:rsid w:val="00D46DEB"/>
    <w:rsid w:val="00D500C9"/>
    <w:rsid w:val="00D50293"/>
    <w:rsid w:val="00D508AF"/>
    <w:rsid w:val="00D50CA7"/>
    <w:rsid w:val="00D516EE"/>
    <w:rsid w:val="00D519CE"/>
    <w:rsid w:val="00D51B90"/>
    <w:rsid w:val="00D52A75"/>
    <w:rsid w:val="00D52E11"/>
    <w:rsid w:val="00D53F7C"/>
    <w:rsid w:val="00D544A3"/>
    <w:rsid w:val="00D54F52"/>
    <w:rsid w:val="00D54FB2"/>
    <w:rsid w:val="00D559EB"/>
    <w:rsid w:val="00D573FA"/>
    <w:rsid w:val="00D57459"/>
    <w:rsid w:val="00D5765D"/>
    <w:rsid w:val="00D57C22"/>
    <w:rsid w:val="00D60290"/>
    <w:rsid w:val="00D60437"/>
    <w:rsid w:val="00D60CBD"/>
    <w:rsid w:val="00D613B9"/>
    <w:rsid w:val="00D62304"/>
    <w:rsid w:val="00D633BE"/>
    <w:rsid w:val="00D63536"/>
    <w:rsid w:val="00D63984"/>
    <w:rsid w:val="00D64405"/>
    <w:rsid w:val="00D652EF"/>
    <w:rsid w:val="00D656F0"/>
    <w:rsid w:val="00D658B1"/>
    <w:rsid w:val="00D65AD3"/>
    <w:rsid w:val="00D65D0E"/>
    <w:rsid w:val="00D65D56"/>
    <w:rsid w:val="00D65FBD"/>
    <w:rsid w:val="00D66063"/>
    <w:rsid w:val="00D661CE"/>
    <w:rsid w:val="00D661FA"/>
    <w:rsid w:val="00D664F2"/>
    <w:rsid w:val="00D6669B"/>
    <w:rsid w:val="00D66E6A"/>
    <w:rsid w:val="00D676B8"/>
    <w:rsid w:val="00D67BEE"/>
    <w:rsid w:val="00D70364"/>
    <w:rsid w:val="00D7046E"/>
    <w:rsid w:val="00D715FA"/>
    <w:rsid w:val="00D72BDA"/>
    <w:rsid w:val="00D72E57"/>
    <w:rsid w:val="00D73430"/>
    <w:rsid w:val="00D73A78"/>
    <w:rsid w:val="00D7498C"/>
    <w:rsid w:val="00D758D8"/>
    <w:rsid w:val="00D75D0D"/>
    <w:rsid w:val="00D76B47"/>
    <w:rsid w:val="00D772C0"/>
    <w:rsid w:val="00D774C3"/>
    <w:rsid w:val="00D8084D"/>
    <w:rsid w:val="00D81244"/>
    <w:rsid w:val="00D81B49"/>
    <w:rsid w:val="00D831CA"/>
    <w:rsid w:val="00D83F38"/>
    <w:rsid w:val="00D8403A"/>
    <w:rsid w:val="00D84162"/>
    <w:rsid w:val="00D843C5"/>
    <w:rsid w:val="00D848FE"/>
    <w:rsid w:val="00D84C97"/>
    <w:rsid w:val="00D858D4"/>
    <w:rsid w:val="00D87991"/>
    <w:rsid w:val="00D87FAB"/>
    <w:rsid w:val="00D90B62"/>
    <w:rsid w:val="00D91148"/>
    <w:rsid w:val="00D91F54"/>
    <w:rsid w:val="00D92505"/>
    <w:rsid w:val="00D9287E"/>
    <w:rsid w:val="00D931EE"/>
    <w:rsid w:val="00D932A0"/>
    <w:rsid w:val="00D93BBE"/>
    <w:rsid w:val="00D93E1F"/>
    <w:rsid w:val="00D94BAF"/>
    <w:rsid w:val="00D94CF7"/>
    <w:rsid w:val="00D958C8"/>
    <w:rsid w:val="00D95AD4"/>
    <w:rsid w:val="00D95B16"/>
    <w:rsid w:val="00D96CC2"/>
    <w:rsid w:val="00D9735C"/>
    <w:rsid w:val="00D97BD8"/>
    <w:rsid w:val="00DA008E"/>
    <w:rsid w:val="00DA0474"/>
    <w:rsid w:val="00DA0BCD"/>
    <w:rsid w:val="00DA1C32"/>
    <w:rsid w:val="00DA255A"/>
    <w:rsid w:val="00DA2E12"/>
    <w:rsid w:val="00DA38AA"/>
    <w:rsid w:val="00DA412A"/>
    <w:rsid w:val="00DA439F"/>
    <w:rsid w:val="00DA47DC"/>
    <w:rsid w:val="00DA60D6"/>
    <w:rsid w:val="00DA6494"/>
    <w:rsid w:val="00DA6B01"/>
    <w:rsid w:val="00DA6B2F"/>
    <w:rsid w:val="00DA6C3A"/>
    <w:rsid w:val="00DA6F47"/>
    <w:rsid w:val="00DB032F"/>
    <w:rsid w:val="00DB152C"/>
    <w:rsid w:val="00DB1B1E"/>
    <w:rsid w:val="00DB39D3"/>
    <w:rsid w:val="00DB3D0C"/>
    <w:rsid w:val="00DB3D67"/>
    <w:rsid w:val="00DB3EA1"/>
    <w:rsid w:val="00DB4C33"/>
    <w:rsid w:val="00DB5D26"/>
    <w:rsid w:val="00DB62CF"/>
    <w:rsid w:val="00DB6942"/>
    <w:rsid w:val="00DB6E37"/>
    <w:rsid w:val="00DC145B"/>
    <w:rsid w:val="00DC32F6"/>
    <w:rsid w:val="00DC4076"/>
    <w:rsid w:val="00DC6642"/>
    <w:rsid w:val="00DC7FE5"/>
    <w:rsid w:val="00DD00F1"/>
    <w:rsid w:val="00DD0B64"/>
    <w:rsid w:val="00DD224F"/>
    <w:rsid w:val="00DD27D0"/>
    <w:rsid w:val="00DD3470"/>
    <w:rsid w:val="00DD3515"/>
    <w:rsid w:val="00DD3803"/>
    <w:rsid w:val="00DD4AE1"/>
    <w:rsid w:val="00DD4D54"/>
    <w:rsid w:val="00DD5A96"/>
    <w:rsid w:val="00DD714F"/>
    <w:rsid w:val="00DD74CF"/>
    <w:rsid w:val="00DD7AB5"/>
    <w:rsid w:val="00DE0071"/>
    <w:rsid w:val="00DE00E5"/>
    <w:rsid w:val="00DE097B"/>
    <w:rsid w:val="00DE0A3D"/>
    <w:rsid w:val="00DE10E3"/>
    <w:rsid w:val="00DE129F"/>
    <w:rsid w:val="00DE1A97"/>
    <w:rsid w:val="00DE29C7"/>
    <w:rsid w:val="00DE2AF0"/>
    <w:rsid w:val="00DE36F5"/>
    <w:rsid w:val="00DE3A97"/>
    <w:rsid w:val="00DE4155"/>
    <w:rsid w:val="00DE4DE6"/>
    <w:rsid w:val="00DE5A68"/>
    <w:rsid w:val="00DE72EA"/>
    <w:rsid w:val="00DE777B"/>
    <w:rsid w:val="00DF026C"/>
    <w:rsid w:val="00DF117C"/>
    <w:rsid w:val="00DF16A6"/>
    <w:rsid w:val="00DF1B77"/>
    <w:rsid w:val="00DF2BE6"/>
    <w:rsid w:val="00DF342C"/>
    <w:rsid w:val="00DF3C9D"/>
    <w:rsid w:val="00DF444A"/>
    <w:rsid w:val="00DF590B"/>
    <w:rsid w:val="00DF6B7F"/>
    <w:rsid w:val="00DF6E76"/>
    <w:rsid w:val="00DF6EDE"/>
    <w:rsid w:val="00E00123"/>
    <w:rsid w:val="00E00CDD"/>
    <w:rsid w:val="00E0120F"/>
    <w:rsid w:val="00E018BF"/>
    <w:rsid w:val="00E01C37"/>
    <w:rsid w:val="00E0249F"/>
    <w:rsid w:val="00E02556"/>
    <w:rsid w:val="00E03E24"/>
    <w:rsid w:val="00E0428F"/>
    <w:rsid w:val="00E05579"/>
    <w:rsid w:val="00E05C0A"/>
    <w:rsid w:val="00E05D18"/>
    <w:rsid w:val="00E05D8B"/>
    <w:rsid w:val="00E0611A"/>
    <w:rsid w:val="00E072A9"/>
    <w:rsid w:val="00E0730D"/>
    <w:rsid w:val="00E07948"/>
    <w:rsid w:val="00E10295"/>
    <w:rsid w:val="00E1157B"/>
    <w:rsid w:val="00E14A02"/>
    <w:rsid w:val="00E15075"/>
    <w:rsid w:val="00E154B1"/>
    <w:rsid w:val="00E16958"/>
    <w:rsid w:val="00E17485"/>
    <w:rsid w:val="00E17CDE"/>
    <w:rsid w:val="00E20152"/>
    <w:rsid w:val="00E20392"/>
    <w:rsid w:val="00E2060D"/>
    <w:rsid w:val="00E212D5"/>
    <w:rsid w:val="00E21DD8"/>
    <w:rsid w:val="00E22F10"/>
    <w:rsid w:val="00E2479D"/>
    <w:rsid w:val="00E24F2C"/>
    <w:rsid w:val="00E25BEB"/>
    <w:rsid w:val="00E25ECB"/>
    <w:rsid w:val="00E261C1"/>
    <w:rsid w:val="00E267B7"/>
    <w:rsid w:val="00E30796"/>
    <w:rsid w:val="00E30F1F"/>
    <w:rsid w:val="00E3149C"/>
    <w:rsid w:val="00E31502"/>
    <w:rsid w:val="00E31C86"/>
    <w:rsid w:val="00E325FC"/>
    <w:rsid w:val="00E32EF6"/>
    <w:rsid w:val="00E3341E"/>
    <w:rsid w:val="00E336AA"/>
    <w:rsid w:val="00E33C71"/>
    <w:rsid w:val="00E34D81"/>
    <w:rsid w:val="00E34FCE"/>
    <w:rsid w:val="00E3613A"/>
    <w:rsid w:val="00E37A90"/>
    <w:rsid w:val="00E40895"/>
    <w:rsid w:val="00E40A54"/>
    <w:rsid w:val="00E40A55"/>
    <w:rsid w:val="00E40E49"/>
    <w:rsid w:val="00E412A2"/>
    <w:rsid w:val="00E41378"/>
    <w:rsid w:val="00E41918"/>
    <w:rsid w:val="00E431FC"/>
    <w:rsid w:val="00E437ED"/>
    <w:rsid w:val="00E4527C"/>
    <w:rsid w:val="00E45513"/>
    <w:rsid w:val="00E4649A"/>
    <w:rsid w:val="00E479A1"/>
    <w:rsid w:val="00E47AAE"/>
    <w:rsid w:val="00E5002F"/>
    <w:rsid w:val="00E500FB"/>
    <w:rsid w:val="00E5090E"/>
    <w:rsid w:val="00E51553"/>
    <w:rsid w:val="00E51F42"/>
    <w:rsid w:val="00E52732"/>
    <w:rsid w:val="00E5278E"/>
    <w:rsid w:val="00E531E3"/>
    <w:rsid w:val="00E53328"/>
    <w:rsid w:val="00E53539"/>
    <w:rsid w:val="00E5355C"/>
    <w:rsid w:val="00E548A0"/>
    <w:rsid w:val="00E54D56"/>
    <w:rsid w:val="00E55196"/>
    <w:rsid w:val="00E55465"/>
    <w:rsid w:val="00E55627"/>
    <w:rsid w:val="00E55FD5"/>
    <w:rsid w:val="00E56B9E"/>
    <w:rsid w:val="00E56D5F"/>
    <w:rsid w:val="00E57F0E"/>
    <w:rsid w:val="00E60161"/>
    <w:rsid w:val="00E6118D"/>
    <w:rsid w:val="00E61583"/>
    <w:rsid w:val="00E61D3D"/>
    <w:rsid w:val="00E61D42"/>
    <w:rsid w:val="00E62342"/>
    <w:rsid w:val="00E62999"/>
    <w:rsid w:val="00E62B82"/>
    <w:rsid w:val="00E63566"/>
    <w:rsid w:val="00E63D5C"/>
    <w:rsid w:val="00E64FE3"/>
    <w:rsid w:val="00E651DA"/>
    <w:rsid w:val="00E6542A"/>
    <w:rsid w:val="00E65602"/>
    <w:rsid w:val="00E65B53"/>
    <w:rsid w:val="00E65B9A"/>
    <w:rsid w:val="00E66004"/>
    <w:rsid w:val="00E66027"/>
    <w:rsid w:val="00E6621D"/>
    <w:rsid w:val="00E6666E"/>
    <w:rsid w:val="00E66D61"/>
    <w:rsid w:val="00E67A67"/>
    <w:rsid w:val="00E701C1"/>
    <w:rsid w:val="00E71172"/>
    <w:rsid w:val="00E714BD"/>
    <w:rsid w:val="00E72566"/>
    <w:rsid w:val="00E72E11"/>
    <w:rsid w:val="00E73F8B"/>
    <w:rsid w:val="00E74297"/>
    <w:rsid w:val="00E74511"/>
    <w:rsid w:val="00E7489F"/>
    <w:rsid w:val="00E7550B"/>
    <w:rsid w:val="00E76CE7"/>
    <w:rsid w:val="00E77607"/>
    <w:rsid w:val="00E77B5F"/>
    <w:rsid w:val="00E8057F"/>
    <w:rsid w:val="00E80BBA"/>
    <w:rsid w:val="00E80CE1"/>
    <w:rsid w:val="00E8123F"/>
    <w:rsid w:val="00E827C7"/>
    <w:rsid w:val="00E82E9A"/>
    <w:rsid w:val="00E82FF2"/>
    <w:rsid w:val="00E8494F"/>
    <w:rsid w:val="00E84B6B"/>
    <w:rsid w:val="00E84D2D"/>
    <w:rsid w:val="00E85CC8"/>
    <w:rsid w:val="00E8728E"/>
    <w:rsid w:val="00E90935"/>
    <w:rsid w:val="00E90FD0"/>
    <w:rsid w:val="00E919E4"/>
    <w:rsid w:val="00E91F8B"/>
    <w:rsid w:val="00E9326D"/>
    <w:rsid w:val="00E93F5B"/>
    <w:rsid w:val="00E94607"/>
    <w:rsid w:val="00E94B6F"/>
    <w:rsid w:val="00E95267"/>
    <w:rsid w:val="00E957D0"/>
    <w:rsid w:val="00EA0530"/>
    <w:rsid w:val="00EA078F"/>
    <w:rsid w:val="00EA0ACC"/>
    <w:rsid w:val="00EA1345"/>
    <w:rsid w:val="00EA301A"/>
    <w:rsid w:val="00EA31EE"/>
    <w:rsid w:val="00EA418B"/>
    <w:rsid w:val="00EA4B3B"/>
    <w:rsid w:val="00EA5FD3"/>
    <w:rsid w:val="00EA68CE"/>
    <w:rsid w:val="00EA6EDE"/>
    <w:rsid w:val="00EA75E2"/>
    <w:rsid w:val="00EA79D0"/>
    <w:rsid w:val="00EB073B"/>
    <w:rsid w:val="00EB07FA"/>
    <w:rsid w:val="00EB12A4"/>
    <w:rsid w:val="00EB16A6"/>
    <w:rsid w:val="00EB1CF4"/>
    <w:rsid w:val="00EB2A68"/>
    <w:rsid w:val="00EB2B43"/>
    <w:rsid w:val="00EB37D1"/>
    <w:rsid w:val="00EB52C8"/>
    <w:rsid w:val="00EB64F6"/>
    <w:rsid w:val="00EB7785"/>
    <w:rsid w:val="00EB7A64"/>
    <w:rsid w:val="00EB7FDE"/>
    <w:rsid w:val="00EC07C9"/>
    <w:rsid w:val="00EC113A"/>
    <w:rsid w:val="00EC190B"/>
    <w:rsid w:val="00EC1C44"/>
    <w:rsid w:val="00EC290A"/>
    <w:rsid w:val="00EC2DC5"/>
    <w:rsid w:val="00EC3255"/>
    <w:rsid w:val="00EC494C"/>
    <w:rsid w:val="00EC49DF"/>
    <w:rsid w:val="00EC49F9"/>
    <w:rsid w:val="00EC557C"/>
    <w:rsid w:val="00EC5C16"/>
    <w:rsid w:val="00EC718B"/>
    <w:rsid w:val="00EC79D8"/>
    <w:rsid w:val="00ED16FF"/>
    <w:rsid w:val="00ED1849"/>
    <w:rsid w:val="00ED2E43"/>
    <w:rsid w:val="00ED3369"/>
    <w:rsid w:val="00ED3B22"/>
    <w:rsid w:val="00ED4995"/>
    <w:rsid w:val="00ED534E"/>
    <w:rsid w:val="00ED561C"/>
    <w:rsid w:val="00ED6355"/>
    <w:rsid w:val="00ED6471"/>
    <w:rsid w:val="00ED6485"/>
    <w:rsid w:val="00ED6BF7"/>
    <w:rsid w:val="00ED71A1"/>
    <w:rsid w:val="00ED7B2B"/>
    <w:rsid w:val="00EE1D17"/>
    <w:rsid w:val="00EE3082"/>
    <w:rsid w:val="00EE379A"/>
    <w:rsid w:val="00EE44DB"/>
    <w:rsid w:val="00EE51C5"/>
    <w:rsid w:val="00EE5946"/>
    <w:rsid w:val="00EE5A9C"/>
    <w:rsid w:val="00EE6356"/>
    <w:rsid w:val="00EE6E3B"/>
    <w:rsid w:val="00EF01B1"/>
    <w:rsid w:val="00EF0A4E"/>
    <w:rsid w:val="00EF1BF0"/>
    <w:rsid w:val="00EF1CA8"/>
    <w:rsid w:val="00EF2831"/>
    <w:rsid w:val="00EF4784"/>
    <w:rsid w:val="00EF4EF3"/>
    <w:rsid w:val="00EF52EC"/>
    <w:rsid w:val="00EF5692"/>
    <w:rsid w:val="00EF5986"/>
    <w:rsid w:val="00EF59A5"/>
    <w:rsid w:val="00EF66CB"/>
    <w:rsid w:val="00EF7BC9"/>
    <w:rsid w:val="00EF7E2E"/>
    <w:rsid w:val="00F0060B"/>
    <w:rsid w:val="00F00C74"/>
    <w:rsid w:val="00F0170E"/>
    <w:rsid w:val="00F01C66"/>
    <w:rsid w:val="00F02035"/>
    <w:rsid w:val="00F02467"/>
    <w:rsid w:val="00F02AAD"/>
    <w:rsid w:val="00F03872"/>
    <w:rsid w:val="00F03912"/>
    <w:rsid w:val="00F04022"/>
    <w:rsid w:val="00F041D3"/>
    <w:rsid w:val="00F04537"/>
    <w:rsid w:val="00F04BEC"/>
    <w:rsid w:val="00F052AD"/>
    <w:rsid w:val="00F055B3"/>
    <w:rsid w:val="00F05E94"/>
    <w:rsid w:val="00F05F88"/>
    <w:rsid w:val="00F06E2F"/>
    <w:rsid w:val="00F07957"/>
    <w:rsid w:val="00F101CF"/>
    <w:rsid w:val="00F121FC"/>
    <w:rsid w:val="00F12DB5"/>
    <w:rsid w:val="00F145AD"/>
    <w:rsid w:val="00F1568A"/>
    <w:rsid w:val="00F15861"/>
    <w:rsid w:val="00F16004"/>
    <w:rsid w:val="00F1639A"/>
    <w:rsid w:val="00F16BC5"/>
    <w:rsid w:val="00F22AB3"/>
    <w:rsid w:val="00F22EBC"/>
    <w:rsid w:val="00F24535"/>
    <w:rsid w:val="00F246BD"/>
    <w:rsid w:val="00F24BD4"/>
    <w:rsid w:val="00F24C9F"/>
    <w:rsid w:val="00F251A7"/>
    <w:rsid w:val="00F251C4"/>
    <w:rsid w:val="00F25463"/>
    <w:rsid w:val="00F25823"/>
    <w:rsid w:val="00F25DC5"/>
    <w:rsid w:val="00F26203"/>
    <w:rsid w:val="00F26B04"/>
    <w:rsid w:val="00F2709E"/>
    <w:rsid w:val="00F272F3"/>
    <w:rsid w:val="00F275EC"/>
    <w:rsid w:val="00F277B6"/>
    <w:rsid w:val="00F305FE"/>
    <w:rsid w:val="00F30B7B"/>
    <w:rsid w:val="00F30EC8"/>
    <w:rsid w:val="00F3260E"/>
    <w:rsid w:val="00F32892"/>
    <w:rsid w:val="00F328B6"/>
    <w:rsid w:val="00F32B87"/>
    <w:rsid w:val="00F33C05"/>
    <w:rsid w:val="00F33D28"/>
    <w:rsid w:val="00F3459A"/>
    <w:rsid w:val="00F34918"/>
    <w:rsid w:val="00F35C2A"/>
    <w:rsid w:val="00F36715"/>
    <w:rsid w:val="00F368B6"/>
    <w:rsid w:val="00F3694C"/>
    <w:rsid w:val="00F36A99"/>
    <w:rsid w:val="00F371E1"/>
    <w:rsid w:val="00F3772E"/>
    <w:rsid w:val="00F4105D"/>
    <w:rsid w:val="00F42137"/>
    <w:rsid w:val="00F4234F"/>
    <w:rsid w:val="00F4249F"/>
    <w:rsid w:val="00F42AE2"/>
    <w:rsid w:val="00F42C30"/>
    <w:rsid w:val="00F430DC"/>
    <w:rsid w:val="00F43228"/>
    <w:rsid w:val="00F43FE4"/>
    <w:rsid w:val="00F44CA8"/>
    <w:rsid w:val="00F44F63"/>
    <w:rsid w:val="00F45083"/>
    <w:rsid w:val="00F45940"/>
    <w:rsid w:val="00F471AE"/>
    <w:rsid w:val="00F47E20"/>
    <w:rsid w:val="00F47EEC"/>
    <w:rsid w:val="00F47EFF"/>
    <w:rsid w:val="00F50D22"/>
    <w:rsid w:val="00F51524"/>
    <w:rsid w:val="00F51CFD"/>
    <w:rsid w:val="00F51D65"/>
    <w:rsid w:val="00F52C7A"/>
    <w:rsid w:val="00F54F3F"/>
    <w:rsid w:val="00F5525B"/>
    <w:rsid w:val="00F5582D"/>
    <w:rsid w:val="00F56631"/>
    <w:rsid w:val="00F56FC3"/>
    <w:rsid w:val="00F5740E"/>
    <w:rsid w:val="00F579C0"/>
    <w:rsid w:val="00F603D1"/>
    <w:rsid w:val="00F60BD3"/>
    <w:rsid w:val="00F60EDA"/>
    <w:rsid w:val="00F610AE"/>
    <w:rsid w:val="00F610BA"/>
    <w:rsid w:val="00F61111"/>
    <w:rsid w:val="00F615F5"/>
    <w:rsid w:val="00F616DE"/>
    <w:rsid w:val="00F619FE"/>
    <w:rsid w:val="00F61BAB"/>
    <w:rsid w:val="00F62351"/>
    <w:rsid w:val="00F62AF5"/>
    <w:rsid w:val="00F62D1B"/>
    <w:rsid w:val="00F64886"/>
    <w:rsid w:val="00F652C8"/>
    <w:rsid w:val="00F653CA"/>
    <w:rsid w:val="00F6580B"/>
    <w:rsid w:val="00F7018A"/>
    <w:rsid w:val="00F70357"/>
    <w:rsid w:val="00F703A3"/>
    <w:rsid w:val="00F7058F"/>
    <w:rsid w:val="00F71168"/>
    <w:rsid w:val="00F71E90"/>
    <w:rsid w:val="00F71F85"/>
    <w:rsid w:val="00F72502"/>
    <w:rsid w:val="00F72642"/>
    <w:rsid w:val="00F726AE"/>
    <w:rsid w:val="00F74F43"/>
    <w:rsid w:val="00F75756"/>
    <w:rsid w:val="00F775EC"/>
    <w:rsid w:val="00F80735"/>
    <w:rsid w:val="00F808C4"/>
    <w:rsid w:val="00F80C38"/>
    <w:rsid w:val="00F81608"/>
    <w:rsid w:val="00F8229A"/>
    <w:rsid w:val="00F82426"/>
    <w:rsid w:val="00F835D8"/>
    <w:rsid w:val="00F836B0"/>
    <w:rsid w:val="00F83771"/>
    <w:rsid w:val="00F83C12"/>
    <w:rsid w:val="00F83EB5"/>
    <w:rsid w:val="00F84696"/>
    <w:rsid w:val="00F849D6"/>
    <w:rsid w:val="00F850E2"/>
    <w:rsid w:val="00F85257"/>
    <w:rsid w:val="00F85B2E"/>
    <w:rsid w:val="00F8647B"/>
    <w:rsid w:val="00F86F75"/>
    <w:rsid w:val="00F87B55"/>
    <w:rsid w:val="00F87E0E"/>
    <w:rsid w:val="00F91B25"/>
    <w:rsid w:val="00F92E25"/>
    <w:rsid w:val="00F93467"/>
    <w:rsid w:val="00F943D8"/>
    <w:rsid w:val="00F95BC6"/>
    <w:rsid w:val="00F963F6"/>
    <w:rsid w:val="00F96621"/>
    <w:rsid w:val="00F97C97"/>
    <w:rsid w:val="00FA0412"/>
    <w:rsid w:val="00FA0C46"/>
    <w:rsid w:val="00FA1A77"/>
    <w:rsid w:val="00FA1C85"/>
    <w:rsid w:val="00FA1E16"/>
    <w:rsid w:val="00FA21FB"/>
    <w:rsid w:val="00FA2C26"/>
    <w:rsid w:val="00FA3501"/>
    <w:rsid w:val="00FA3A58"/>
    <w:rsid w:val="00FA4077"/>
    <w:rsid w:val="00FA4665"/>
    <w:rsid w:val="00FA53B5"/>
    <w:rsid w:val="00FA614B"/>
    <w:rsid w:val="00FB0DB7"/>
    <w:rsid w:val="00FB0F53"/>
    <w:rsid w:val="00FB103C"/>
    <w:rsid w:val="00FB1B31"/>
    <w:rsid w:val="00FB1C06"/>
    <w:rsid w:val="00FB1C4A"/>
    <w:rsid w:val="00FB20C7"/>
    <w:rsid w:val="00FB3906"/>
    <w:rsid w:val="00FB4A7B"/>
    <w:rsid w:val="00FB5960"/>
    <w:rsid w:val="00FB5AFB"/>
    <w:rsid w:val="00FB662D"/>
    <w:rsid w:val="00FB7110"/>
    <w:rsid w:val="00FB73A9"/>
    <w:rsid w:val="00FB776C"/>
    <w:rsid w:val="00FC0FB6"/>
    <w:rsid w:val="00FC2EAD"/>
    <w:rsid w:val="00FC4259"/>
    <w:rsid w:val="00FC4A88"/>
    <w:rsid w:val="00FC4FF8"/>
    <w:rsid w:val="00FC5178"/>
    <w:rsid w:val="00FC78A6"/>
    <w:rsid w:val="00FC7CB8"/>
    <w:rsid w:val="00FC7F89"/>
    <w:rsid w:val="00FD1A59"/>
    <w:rsid w:val="00FD1E45"/>
    <w:rsid w:val="00FD225E"/>
    <w:rsid w:val="00FD258C"/>
    <w:rsid w:val="00FD2EEE"/>
    <w:rsid w:val="00FD3B4D"/>
    <w:rsid w:val="00FD4C0F"/>
    <w:rsid w:val="00FD68C3"/>
    <w:rsid w:val="00FE02F0"/>
    <w:rsid w:val="00FE08F7"/>
    <w:rsid w:val="00FE1492"/>
    <w:rsid w:val="00FE24EF"/>
    <w:rsid w:val="00FE2FE1"/>
    <w:rsid w:val="00FE34C5"/>
    <w:rsid w:val="00FE34EE"/>
    <w:rsid w:val="00FE381C"/>
    <w:rsid w:val="00FE3B62"/>
    <w:rsid w:val="00FE436C"/>
    <w:rsid w:val="00FE4382"/>
    <w:rsid w:val="00FE485F"/>
    <w:rsid w:val="00FE4D27"/>
    <w:rsid w:val="00FE599E"/>
    <w:rsid w:val="00FE6630"/>
    <w:rsid w:val="00FE6834"/>
    <w:rsid w:val="00FE6B5E"/>
    <w:rsid w:val="00FE6E3B"/>
    <w:rsid w:val="00FE7335"/>
    <w:rsid w:val="00FE7552"/>
    <w:rsid w:val="00FF01C3"/>
    <w:rsid w:val="00FF09F0"/>
    <w:rsid w:val="00FF1778"/>
    <w:rsid w:val="00FF1E47"/>
    <w:rsid w:val="00FF222B"/>
    <w:rsid w:val="00FF236C"/>
    <w:rsid w:val="00FF262D"/>
    <w:rsid w:val="00FF2749"/>
    <w:rsid w:val="00FF284C"/>
    <w:rsid w:val="00FF2A72"/>
    <w:rsid w:val="00FF39E7"/>
    <w:rsid w:val="00FF3DFC"/>
    <w:rsid w:val="00FF5F44"/>
    <w:rsid w:val="00FF5FDD"/>
    <w:rsid w:val="00FF6825"/>
    <w:rsid w:val="00FF6AB5"/>
    <w:rsid w:val="00FF71D1"/>
    <w:rsid w:val="08360D7F"/>
    <w:rsid w:val="129A6BD6"/>
    <w:rsid w:val="1D8FA290"/>
    <w:rsid w:val="1EF35F9C"/>
    <w:rsid w:val="24321361"/>
    <w:rsid w:val="25CF0805"/>
    <w:rsid w:val="292E35EB"/>
    <w:rsid w:val="2A76131E"/>
    <w:rsid w:val="32057D9F"/>
    <w:rsid w:val="38D73E2A"/>
    <w:rsid w:val="3A730E8B"/>
    <w:rsid w:val="3B933788"/>
    <w:rsid w:val="445B6EA6"/>
    <w:rsid w:val="44DFA0C8"/>
    <w:rsid w:val="450DB3C4"/>
    <w:rsid w:val="4D18C5A9"/>
    <w:rsid w:val="4D4D1939"/>
    <w:rsid w:val="4EE8E99A"/>
    <w:rsid w:val="51351996"/>
    <w:rsid w:val="5454CA13"/>
    <w:rsid w:val="5C70622E"/>
    <w:rsid w:val="69FC31A4"/>
    <w:rsid w:val="6AC2E7D6"/>
    <w:rsid w:val="7413101D"/>
    <w:rsid w:val="77052FD7"/>
    <w:rsid w:val="78C0E433"/>
    <w:rsid w:val="7C0D1901"/>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34C4F028-D93B-4B67-A5CE-80F27730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6D5EF5"/>
    <w:pPr>
      <w:numPr>
        <w:numId w:val="2"/>
      </w:numPr>
      <w:spacing w:before="200" w:after="120"/>
      <w:outlineLvl w:val="0"/>
    </w:pPr>
    <w:rPr>
      <w:rFonts w:cs="Times New Roman"/>
      <w:b/>
      <w:color w:val="000000"/>
    </w:rPr>
  </w:style>
  <w:style w:type="paragraph" w:styleId="Ttulo2">
    <w:name w:val="heading 2"/>
    <w:basedOn w:val="Ttulo1"/>
    <w:next w:val="Normal"/>
    <w:link w:val="Ttulo2Car"/>
    <w:uiPriority w:val="9"/>
    <w:unhideWhenUsed/>
    <w:qFormat/>
    <w:rsid w:val="006D5EF5"/>
    <w:pPr>
      <w:numPr>
        <w:ilvl w:val="1"/>
      </w:numPr>
      <w:outlineLvl w:val="1"/>
    </w:pPr>
  </w:style>
  <w:style w:type="paragraph" w:styleId="Ttulo3">
    <w:name w:val="heading 3"/>
    <w:basedOn w:val="Ttulo2"/>
    <w:next w:val="Normal"/>
    <w:link w:val="Ttulo3Car"/>
    <w:uiPriority w:val="9"/>
    <w:unhideWhenUsed/>
    <w:qFormat/>
    <w:rsid w:val="006D5EF5"/>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6D5EF5"/>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387B7B"/>
    <w:pPr>
      <w:spacing w:before="120" w:after="120"/>
    </w:pPr>
    <w:rPr>
      <w:rFonts w:eastAsiaTheme="minorEastAsia"/>
      <w:iCs/>
      <w:szCs w:val="18"/>
      <w:lang w:eastAsia="es-CO"/>
    </w:rPr>
  </w:style>
  <w:style w:type="character" w:customStyle="1" w:styleId="Ttulo3Car">
    <w:name w:val="Título 3 Car"/>
    <w:basedOn w:val="Fuentedeprrafopredeter"/>
    <w:link w:val="Ttulo3"/>
    <w:uiPriority w:val="9"/>
    <w:rsid w:val="006D5EF5"/>
    <w:rPr>
      <w:rFonts w:cs="Times New Roman"/>
      <w:b/>
      <w:color w:val="00000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D5EF5"/>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387B7B"/>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paragraph" w:customStyle="1" w:styleId="ttulotablayfigura">
    <w:name w:val="título tabla y figura"/>
    <w:basedOn w:val="Normal"/>
    <w:link w:val="ttulotablayfiguraCar"/>
    <w:qFormat/>
    <w:rsid w:val="001265F3"/>
    <w:pPr>
      <w:spacing w:after="200"/>
    </w:pPr>
  </w:style>
  <w:style w:type="paragraph" w:customStyle="1" w:styleId="Fuentefigurasytablas">
    <w:name w:val="Fuente figuras y tablas"/>
    <w:basedOn w:val="Normal"/>
    <w:link w:val="FuentefigurasytablasCar"/>
    <w:qFormat/>
    <w:rsid w:val="0034634B"/>
    <w:pPr>
      <w:spacing w:before="120" w:after="120"/>
    </w:pPr>
    <w:rPr>
      <w:sz w:val="18"/>
    </w:rPr>
  </w:style>
  <w:style w:type="character" w:customStyle="1" w:styleId="ttulotablayfiguraCar">
    <w:name w:val="título tabla y figura Car"/>
    <w:basedOn w:val="Fuentedeprrafopredeter"/>
    <w:link w:val="ttulotablayfigura"/>
    <w:rsid w:val="001265F3"/>
  </w:style>
  <w:style w:type="character" w:styleId="Textodelmarcadordeposicin">
    <w:name w:val="Placeholder Text"/>
    <w:basedOn w:val="Fuentedeprrafopredeter"/>
    <w:uiPriority w:val="99"/>
    <w:semiHidden/>
    <w:rsid w:val="003D6412"/>
    <w:rPr>
      <w:color w:val="808080"/>
    </w:rPr>
  </w:style>
  <w:style w:type="character" w:customStyle="1" w:styleId="FuentefigurasytablasCar">
    <w:name w:val="Fuente figuras y tablas Car"/>
    <w:basedOn w:val="Fuentedeprrafopredeter"/>
    <w:link w:val="Fuentefigurasytablas"/>
    <w:rsid w:val="0034634B"/>
    <w:rPr>
      <w:sz w:val="18"/>
    </w:rPr>
  </w:style>
  <w:style w:type="character" w:styleId="Mencinsinresolver">
    <w:name w:val="Unresolved Mention"/>
    <w:basedOn w:val="Fuentedeprrafopredeter"/>
    <w:uiPriority w:val="99"/>
    <w:semiHidden/>
    <w:unhideWhenUsed/>
    <w:rsid w:val="003A6FE5"/>
    <w:rPr>
      <w:color w:val="605E5C"/>
      <w:shd w:val="clear" w:color="auto" w:fill="E1DFDD"/>
    </w:rPr>
  </w:style>
  <w:style w:type="character" w:styleId="Hipervnculovisitado">
    <w:name w:val="FollowedHyperlink"/>
    <w:basedOn w:val="Fuentedeprrafopredeter"/>
    <w:uiPriority w:val="99"/>
    <w:semiHidden/>
    <w:unhideWhenUsed/>
    <w:rsid w:val="00B35F7D"/>
    <w:rPr>
      <w:color w:val="954F72" w:themeColor="followedHyperlink"/>
      <w:u w:val="single"/>
    </w:rPr>
  </w:style>
  <w:style w:type="character" w:styleId="CitaHTML">
    <w:name w:val="HTML Cite"/>
    <w:basedOn w:val="Fuentedeprrafopredeter"/>
    <w:uiPriority w:val="99"/>
    <w:semiHidden/>
    <w:unhideWhenUsed/>
    <w:rsid w:val="000E0D45"/>
    <w:rPr>
      <w:i/>
      <w:iCs/>
    </w:rPr>
  </w:style>
  <w:style w:type="paragraph" w:styleId="Textoindependiente">
    <w:name w:val="Body Text"/>
    <w:basedOn w:val="Normal"/>
    <w:link w:val="TextoindependienteCar"/>
    <w:uiPriority w:val="99"/>
    <w:semiHidden/>
    <w:unhideWhenUsed/>
    <w:rsid w:val="00927538"/>
    <w:pPr>
      <w:spacing w:after="120"/>
    </w:pPr>
  </w:style>
  <w:style w:type="character" w:customStyle="1" w:styleId="TextoindependienteCar">
    <w:name w:val="Texto independiente Car"/>
    <w:basedOn w:val="Fuentedeprrafopredeter"/>
    <w:link w:val="Textoindependiente"/>
    <w:uiPriority w:val="99"/>
    <w:semiHidden/>
    <w:rsid w:val="00927538"/>
  </w:style>
  <w:style w:type="character" w:customStyle="1" w:styleId="ts-alignment-element">
    <w:name w:val="ts-alignment-element"/>
    <w:basedOn w:val="Fuentedeprrafopredeter"/>
    <w:rsid w:val="00792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58405699">
      <w:bodyDiv w:val="1"/>
      <w:marLeft w:val="0"/>
      <w:marRight w:val="0"/>
      <w:marTop w:val="0"/>
      <w:marBottom w:val="0"/>
      <w:divBdr>
        <w:top w:val="none" w:sz="0" w:space="0" w:color="auto"/>
        <w:left w:val="none" w:sz="0" w:space="0" w:color="auto"/>
        <w:bottom w:val="none" w:sz="0" w:space="0" w:color="auto"/>
        <w:right w:val="none" w:sz="0" w:space="0" w:color="auto"/>
      </w:divBdr>
      <w:divsChild>
        <w:div w:id="1402095117">
          <w:marLeft w:val="0"/>
          <w:marRight w:val="0"/>
          <w:marTop w:val="0"/>
          <w:marBottom w:val="0"/>
          <w:divBdr>
            <w:top w:val="none" w:sz="0" w:space="0" w:color="auto"/>
            <w:left w:val="none" w:sz="0" w:space="0" w:color="auto"/>
            <w:bottom w:val="none" w:sz="0" w:space="0" w:color="auto"/>
            <w:right w:val="none" w:sz="0" w:space="0" w:color="auto"/>
          </w:divBdr>
          <w:divsChild>
            <w:div w:id="63720816">
              <w:marLeft w:val="0"/>
              <w:marRight w:val="0"/>
              <w:marTop w:val="0"/>
              <w:marBottom w:val="0"/>
              <w:divBdr>
                <w:top w:val="none" w:sz="0" w:space="0" w:color="auto"/>
                <w:left w:val="none" w:sz="0" w:space="0" w:color="auto"/>
                <w:bottom w:val="none" w:sz="0" w:space="0" w:color="auto"/>
                <w:right w:val="none" w:sz="0" w:space="0" w:color="auto"/>
              </w:divBdr>
              <w:divsChild>
                <w:div w:id="1996952324">
                  <w:marLeft w:val="0"/>
                  <w:marRight w:val="0"/>
                  <w:marTop w:val="0"/>
                  <w:marBottom w:val="0"/>
                  <w:divBdr>
                    <w:top w:val="none" w:sz="0" w:space="0" w:color="auto"/>
                    <w:left w:val="none" w:sz="0" w:space="0" w:color="auto"/>
                    <w:bottom w:val="none" w:sz="0" w:space="0" w:color="auto"/>
                    <w:right w:val="none" w:sz="0" w:space="0" w:color="auto"/>
                  </w:divBdr>
                  <w:divsChild>
                    <w:div w:id="282031626">
                      <w:marLeft w:val="0"/>
                      <w:marRight w:val="0"/>
                      <w:marTop w:val="0"/>
                      <w:marBottom w:val="0"/>
                      <w:divBdr>
                        <w:top w:val="none" w:sz="0" w:space="0" w:color="auto"/>
                        <w:left w:val="none" w:sz="0" w:space="0" w:color="auto"/>
                        <w:bottom w:val="none" w:sz="0" w:space="0" w:color="auto"/>
                        <w:right w:val="none" w:sz="0" w:space="0" w:color="auto"/>
                      </w:divBdr>
                      <w:divsChild>
                        <w:div w:id="383140168">
                          <w:marLeft w:val="0"/>
                          <w:marRight w:val="0"/>
                          <w:marTop w:val="0"/>
                          <w:marBottom w:val="0"/>
                          <w:divBdr>
                            <w:top w:val="none" w:sz="0" w:space="0" w:color="auto"/>
                            <w:left w:val="none" w:sz="0" w:space="0" w:color="auto"/>
                            <w:bottom w:val="none" w:sz="0" w:space="0" w:color="auto"/>
                            <w:right w:val="none" w:sz="0" w:space="0" w:color="auto"/>
                          </w:divBdr>
                          <w:divsChild>
                            <w:div w:id="1604994470">
                              <w:marLeft w:val="0"/>
                              <w:marRight w:val="0"/>
                              <w:marTop w:val="0"/>
                              <w:marBottom w:val="0"/>
                              <w:divBdr>
                                <w:top w:val="none" w:sz="0" w:space="0" w:color="auto"/>
                                <w:left w:val="none" w:sz="0" w:space="0" w:color="auto"/>
                                <w:bottom w:val="none" w:sz="0" w:space="0" w:color="auto"/>
                                <w:right w:val="none" w:sz="0" w:space="0" w:color="auto"/>
                              </w:divBdr>
                              <w:divsChild>
                                <w:div w:id="80420635">
                                  <w:marLeft w:val="0"/>
                                  <w:marRight w:val="0"/>
                                  <w:marTop w:val="0"/>
                                  <w:marBottom w:val="0"/>
                                  <w:divBdr>
                                    <w:top w:val="none" w:sz="0" w:space="0" w:color="auto"/>
                                    <w:left w:val="none" w:sz="0" w:space="0" w:color="auto"/>
                                    <w:bottom w:val="none" w:sz="0" w:space="0" w:color="auto"/>
                                    <w:right w:val="none" w:sz="0" w:space="0" w:color="auto"/>
                                  </w:divBdr>
                                  <w:divsChild>
                                    <w:div w:id="1886942870">
                                      <w:marLeft w:val="0"/>
                                      <w:marRight w:val="0"/>
                                      <w:marTop w:val="0"/>
                                      <w:marBottom w:val="0"/>
                                      <w:divBdr>
                                        <w:top w:val="none" w:sz="0" w:space="0" w:color="auto"/>
                                        <w:left w:val="none" w:sz="0" w:space="0" w:color="auto"/>
                                        <w:bottom w:val="none" w:sz="0" w:space="0" w:color="auto"/>
                                        <w:right w:val="none" w:sz="0" w:space="0" w:color="auto"/>
                                      </w:divBdr>
                                      <w:divsChild>
                                        <w:div w:id="1342976213">
                                          <w:marLeft w:val="0"/>
                                          <w:marRight w:val="0"/>
                                          <w:marTop w:val="0"/>
                                          <w:marBottom w:val="0"/>
                                          <w:divBdr>
                                            <w:top w:val="none" w:sz="0" w:space="0" w:color="auto"/>
                                            <w:left w:val="none" w:sz="0" w:space="0" w:color="auto"/>
                                            <w:bottom w:val="none" w:sz="0" w:space="0" w:color="auto"/>
                                            <w:right w:val="none" w:sz="0" w:space="0" w:color="auto"/>
                                          </w:divBdr>
                                          <w:divsChild>
                                            <w:div w:id="1165785352">
                                              <w:marLeft w:val="0"/>
                                              <w:marRight w:val="0"/>
                                              <w:marTop w:val="0"/>
                                              <w:marBottom w:val="0"/>
                                              <w:divBdr>
                                                <w:top w:val="none" w:sz="0" w:space="0" w:color="auto"/>
                                                <w:left w:val="none" w:sz="0" w:space="0" w:color="auto"/>
                                                <w:bottom w:val="none" w:sz="0" w:space="0" w:color="auto"/>
                                                <w:right w:val="none" w:sz="0" w:space="0" w:color="auto"/>
                                              </w:divBdr>
                                              <w:divsChild>
                                                <w:div w:id="1222059156">
                                                  <w:marLeft w:val="0"/>
                                                  <w:marRight w:val="0"/>
                                                  <w:marTop w:val="0"/>
                                                  <w:marBottom w:val="0"/>
                                                  <w:divBdr>
                                                    <w:top w:val="none" w:sz="0" w:space="0" w:color="auto"/>
                                                    <w:left w:val="none" w:sz="0" w:space="0" w:color="auto"/>
                                                    <w:bottom w:val="none" w:sz="0" w:space="0" w:color="auto"/>
                                                    <w:right w:val="none" w:sz="0" w:space="0" w:color="auto"/>
                                                  </w:divBdr>
                                                  <w:divsChild>
                                                    <w:div w:id="306472709">
                                                      <w:marLeft w:val="0"/>
                                                      <w:marRight w:val="0"/>
                                                      <w:marTop w:val="0"/>
                                                      <w:marBottom w:val="0"/>
                                                      <w:divBdr>
                                                        <w:top w:val="none" w:sz="0" w:space="0" w:color="auto"/>
                                                        <w:left w:val="none" w:sz="0" w:space="0" w:color="auto"/>
                                                        <w:bottom w:val="none" w:sz="0" w:space="0" w:color="auto"/>
                                                        <w:right w:val="none" w:sz="0" w:space="0" w:color="auto"/>
                                                      </w:divBdr>
                                                      <w:divsChild>
                                                        <w:div w:id="1172600707">
                                                          <w:marLeft w:val="0"/>
                                                          <w:marRight w:val="0"/>
                                                          <w:marTop w:val="0"/>
                                                          <w:marBottom w:val="0"/>
                                                          <w:divBdr>
                                                            <w:top w:val="none" w:sz="0" w:space="0" w:color="auto"/>
                                                            <w:left w:val="none" w:sz="0" w:space="0" w:color="auto"/>
                                                            <w:bottom w:val="none" w:sz="0" w:space="0" w:color="auto"/>
                                                            <w:right w:val="none" w:sz="0" w:space="0" w:color="auto"/>
                                                          </w:divBdr>
                                                          <w:divsChild>
                                                            <w:div w:id="15992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openknowledge.worldbank.org/bitstream/" TargetMode="External"/><Relationship Id="rId26" Type="http://schemas.openxmlformats.org/officeDocument/2006/relationships/hyperlink" Target="https://www.ine.cl/estadisticas/sociales/censos-de-poblacion-y-vivienda/censo-de-poblacion-y-vivienda" TargetMode="External"/><Relationship Id="rId39" Type="http://schemas.openxmlformats.org/officeDocument/2006/relationships/theme" Target="theme/theme1.xml"/><Relationship Id="rId21" Type="http://schemas.openxmlformats.org/officeDocument/2006/relationships/hyperlink" Target="http://dx.doi.org/10.1016/" TargetMode="External"/><Relationship Id="rId34" Type="http://schemas.openxmlformats.org/officeDocument/2006/relationships/hyperlink" Target="https://doi.org/10.1016/j.energy.2013.02.003" TargetMode="Externa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2.wdp"/><Relationship Id="rId25" Type="http://schemas.openxmlformats.org/officeDocument/2006/relationships/hyperlink" Target="https://doi.org/10.3390/ijerph19106041" TargetMode="External"/><Relationship Id="rId33" Type="http://schemas.openxmlformats.org/officeDocument/2006/relationships/hyperlink" Target="https://doi.org/10.1007/s10098-011-0353-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doi.org/10.1016/j.rser.2019.109512" TargetMode="External"/><Relationship Id="rId29" Type="http://schemas.openxmlformats.org/officeDocument/2006/relationships/hyperlink" Target="https://phylli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unep.org/ietc/resources/" TargetMode="External"/><Relationship Id="rId32" Type="http://schemas.openxmlformats.org/officeDocument/2006/relationships/hyperlink" Target="https://climatologia.meteochile.gob.cl/application/publicaciones/documentoPdf/anuario/anuario-2020.pdf" TargetMode="External"/><Relationship Id="rId37" Type="http://schemas.openxmlformats.org/officeDocument/2006/relationships/hyperlink" Target="https://www.boe.es/buscar/doc.php?id=DOUE-L-2008-81053" TargetMode="External"/><Relationship Id="rId40" Type="http://schemas.microsoft.com/office/2020/10/relationships/intelligence" Target="intelligence2.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https://doi.org/10.1016/j.applthermaleng.2018.05.045" TargetMode="External"/><Relationship Id="rId28" Type="http://schemas.openxmlformats.org/officeDocument/2006/relationships/hyperlink" Target="https://biblioteca.digital.gob.cl/handle/123456789/586" TargetMode="External"/><Relationship Id="rId36" Type="http://schemas.openxmlformats.org/officeDocument/2006/relationships/hyperlink" Target="https://eur-lex.europa.eu/search.html?scope=EURLEX&amp;text=2019%2F2010&amp;lang=es&amp;type=quick&amp;qid=1659825967208" TargetMode="External"/><Relationship Id="rId10" Type="http://schemas.openxmlformats.org/officeDocument/2006/relationships/header" Target="header3.xml"/><Relationship Id="rId19" Type="http://schemas.openxmlformats.org/officeDocument/2006/relationships/hyperlink" Target="https://www.unep.org/resources/report/" TargetMode="External"/><Relationship Id="rId31" Type="http://schemas.openxmlformats.org/officeDocument/2006/relationships/hyperlink" Target="https://data.europa.eu/doi/10.2760/76143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yperlink" Target="https://doi.org/10.1016/j.chemosphere.2021.132403" TargetMode="External"/><Relationship Id="rId27" Type="http://schemas.openxmlformats.org/officeDocument/2006/relationships/hyperlink" Target="https://retc.mma.gob.cl/" TargetMode="External"/><Relationship Id="rId30" Type="http://schemas.openxmlformats.org/officeDocument/2006/relationships/hyperlink" Target="https://www.sciencedirect.com/science/article/pii/S0360544212000199" TargetMode="External"/><Relationship Id="rId35" Type="http://schemas.openxmlformats.org/officeDocument/2006/relationships/hyperlink" Target="https://www.sciencedirect.com/science/article/pii/S0956053X14002517" TargetMode="External"/><Relationship Id="rId8" Type="http://schemas.openxmlformats.org/officeDocument/2006/relationships/header" Target="header1.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3</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5</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6</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7</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8</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9</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10</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11</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12</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13</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14</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15</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16</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17</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18</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19</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20</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21</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22</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23</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24</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25</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26</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27</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28</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29</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30</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31</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32</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34</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35</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36</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37</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38</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39</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40</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41</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42</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43</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44</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45</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46</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47</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48</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49</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50</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51</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52</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53</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54</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55</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56</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57</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58</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59</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60</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61</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62</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63</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64</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65</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66</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67</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68</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69</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70</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71</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72</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73</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74</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75</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76</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77</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78</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79</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80</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81</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82</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83</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84</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85</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86</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87</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88</b:RefOrder>
  </b:Source>
  <b:Source>
    <b:Tag>Sha21</b:Tag>
    <b:SourceType>JournalArticle</b:SourceType>
    <b:Guid>{DACA88A2-EE4A-4A52-A7C7-B5D4310722D8}</b:Guid>
    <b:Title>Municipal solid waste as a sustainable resource for energy production: State of the art review</b:Title>
    <b:JournalName>Journal of Environmental Chemical Engineering</b:JournalName>
    <b:Year>2021</b:Year>
    <b:Pages>105717</b:Pages>
    <b:Volume>9</b:Volume>
    <b:Author>
      <b:Author>
        <b:NameList>
          <b:Person>
            <b:Last>Shah</b:Last>
            <b:Middle>V.</b:Middle>
            <b:First>A.</b:First>
          </b:Person>
          <b:Person>
            <b:Last>Srivastava</b:Last>
            <b:Middle>K.</b:Middle>
            <b:First>V.</b:First>
          </b:Person>
          <b:Person>
            <b:Last>Mohanty</b:Last>
            <b:Middle>S.</b:Middle>
            <b:First>S.</b:First>
          </b:Person>
          <b:Person>
            <b:Last>Varjani</b:Last>
            <b:First>S.</b:First>
          </b:Person>
        </b:NameList>
      </b:Author>
    </b:Author>
    <b:RefOrder>89</b:RefOrder>
  </b:Source>
  <b:Source>
    <b:Tag>Lom15</b:Tag>
    <b:SourceType>JournalArticle</b:SourceType>
    <b:Guid>{F0A2A81C-7E97-4160-9CFD-301552593C5D}</b:Guid>
    <b:Title>A review of technologies and performance of thermal treatment systems for energy recovery from waste</b:Title>
    <b:JournalName>Waste Management</b:JournalName>
    <b:Year>2015</b:Year>
    <b:Pages>26-44</b:Pages>
    <b:Volume>37</b:Volume>
    <b:Author>
      <b:Author>
        <b:NameList>
          <b:Person>
            <b:Last>Lombardi</b:Last>
            <b:First>L.</b:First>
          </b:Person>
          <b:Person>
            <b:Last>Carnevale</b:Last>
            <b:First>E.</b:First>
          </b:Person>
          <b:Person>
            <b:Last>Corti</b:Last>
            <b:First>A.</b:First>
          </b:Person>
        </b:NameList>
      </b:Author>
    </b:Author>
    <b:RefOrder>90</b:RefOrder>
  </b:Source>
  <b:Source>
    <b:Tag>Che14</b:Tag>
    <b:SourceType>JournalArticle</b:SourceType>
    <b:Guid>{661A0BC5-3B4E-4AF6-B7DD-446A82A0246E}</b:Guid>
    <b:Title>Reprint of Pyrolysis technologies for municipal solid waste: A review</b:Title>
    <b:JournalName>Waste Management</b:JournalName>
    <b:Year>2014</b:Year>
    <b:Pages>2466-2486</b:Pages>
    <b:Volume>43</b:Volume>
    <b:Author>
      <b:Author>
        <b:NameList>
          <b:Person>
            <b:Last>Chen</b:Last>
            <b:First>D.</b:First>
          </b:Person>
          <b:Person>
            <b:Last>Yin</b:Last>
            <b:First>L.</b:First>
          </b:Person>
          <b:Person>
            <b:Last>Wang</b:Last>
            <b:First>H.</b:First>
          </b:Person>
          <b:Person>
            <b:Last>He</b:Last>
            <b:First>P.</b:First>
          </b:Person>
        </b:NameList>
      </b:Author>
    </b:Author>
    <b:RefOrder>91</b:RefOrder>
  </b:Source>
</b:Sources>
</file>

<file path=customXml/itemProps1.xml><?xml version="1.0" encoding="utf-8"?>
<ds:datastoreItem xmlns:ds="http://schemas.openxmlformats.org/officeDocument/2006/customXml" ds:itemID="{F1F266F7-A086-409E-B701-7F856144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10</Pages>
  <Words>7109</Words>
  <Characters>39104</Characters>
  <Application>Microsoft Office Word</Application>
  <DocSecurity>0</DocSecurity>
  <Lines>325</Lines>
  <Paragraphs>92</Paragraphs>
  <ScaleCrop>false</ScaleCrop>
  <Company/>
  <LinksUpToDate>false</LinksUpToDate>
  <CharactersWithSpaces>46121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Manuel José Martínez Bordes</cp:lastModifiedBy>
  <cp:revision>2614</cp:revision>
  <cp:lastPrinted>2016-05-06T04:48:00Z</cp:lastPrinted>
  <dcterms:created xsi:type="dcterms:W3CDTF">2022-06-05T15:07:00Z</dcterms:created>
  <dcterms:modified xsi:type="dcterms:W3CDTF">2022-09-16T14:18:00Z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SIP_Label_9f4e9a4a-eb20-4aad-9a64-8872817c1a6f_Enabled">
    <vt:lpwstr>true</vt:lpwstr>
  </property>
  <property fmtid="{D5CDD505-2E9C-101B-9397-08002B2CF9AE}" pid="26" name="MSIP_Label_9f4e9a4a-eb20-4aad-9a64-8872817c1a6f_SetDate">
    <vt:lpwstr>2022-09-10T18:05:24Z</vt:lpwstr>
  </property>
  <property fmtid="{D5CDD505-2E9C-101B-9397-08002B2CF9AE}" pid="27" name="MSIP_Label_9f4e9a4a-eb20-4aad-9a64-8872817c1a6f_Method">
    <vt:lpwstr>Standard</vt:lpwstr>
  </property>
  <property fmtid="{D5CDD505-2E9C-101B-9397-08002B2CF9AE}" pid="28" name="MSIP_Label_9f4e9a4a-eb20-4aad-9a64-8872817c1a6f_Name">
    <vt:lpwstr>defa4170-0d19-0005-0004-bc88714345d2</vt:lpwstr>
  </property>
  <property fmtid="{D5CDD505-2E9C-101B-9397-08002B2CF9AE}" pid="29" name="MSIP_Label_9f4e9a4a-eb20-4aad-9a64-8872817c1a6f_SiteId">
    <vt:lpwstr>7a599002-001c-432c-846e-1ddca9f6b299</vt:lpwstr>
  </property>
  <property fmtid="{D5CDD505-2E9C-101B-9397-08002B2CF9AE}" pid="30" name="MSIP_Label_9f4e9a4a-eb20-4aad-9a64-8872817c1a6f_ActionId">
    <vt:lpwstr>e473efb8-5702-4778-aed9-645d29a86f17</vt:lpwstr>
  </property>
  <property fmtid="{D5CDD505-2E9C-101B-9397-08002B2CF9AE}" pid="31" name="MSIP_Label_9f4e9a4a-eb20-4aad-9a64-8872817c1a6f_ContentBits">
    <vt:lpwstr>0</vt:lpwstr>
  </property>
</Properties>
</file>